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71437" w14:textId="37561A32" w:rsidR="00254210" w:rsidRPr="00210F0B" w:rsidRDefault="00F45D6D" w:rsidP="001030FE">
      <w:pPr>
        <w:spacing w:after="0" w:line="240" w:lineRule="auto"/>
        <w:ind w:left="0" w:right="357" w:firstLine="0"/>
        <w:jc w:val="center"/>
        <w:rPr>
          <w:b/>
          <w:szCs w:val="24"/>
          <w:lang w:val="es-BO"/>
        </w:rPr>
      </w:pPr>
      <w:r>
        <w:rPr>
          <w:b/>
          <w:szCs w:val="24"/>
          <w:lang w:val="es-BO"/>
        </w:rPr>
        <w:t>POLITICA MONETARIA DE BLANCOS</w:t>
      </w:r>
      <w:r w:rsidR="00CC72EF" w:rsidRPr="00210F0B">
        <w:rPr>
          <w:b/>
          <w:szCs w:val="24"/>
          <w:lang w:val="es-BO"/>
        </w:rPr>
        <w:t xml:space="preserve"> DE INFLACIÓN</w:t>
      </w:r>
      <w:r>
        <w:rPr>
          <w:b/>
          <w:szCs w:val="24"/>
          <w:lang w:val="es-BO"/>
        </w:rPr>
        <w:t>, FINANZAS PÚBLICAS</w:t>
      </w:r>
      <w:r w:rsidR="00CC72EF" w:rsidRPr="00210F0B">
        <w:rPr>
          <w:b/>
          <w:szCs w:val="24"/>
          <w:lang w:val="es-BO"/>
        </w:rPr>
        <w:t xml:space="preserve"> Y VOLATILIDAD</w:t>
      </w:r>
      <w:r w:rsidR="00254210" w:rsidRPr="00210F0B">
        <w:rPr>
          <w:b/>
          <w:szCs w:val="24"/>
          <w:lang w:val="es-BO"/>
        </w:rPr>
        <w:t xml:space="preserve"> DEL TIPO DE CAMBIO EN MÉXICO Y BRASIL, 1994-2020.</w:t>
      </w:r>
    </w:p>
    <w:p w14:paraId="22EF3FCC" w14:textId="77777777" w:rsidR="00254210" w:rsidRPr="00254210" w:rsidRDefault="00254210" w:rsidP="00254210">
      <w:pPr>
        <w:spacing w:after="0" w:line="240" w:lineRule="auto"/>
        <w:jc w:val="left"/>
        <w:rPr>
          <w:rFonts w:cstheme="minorHAnsi"/>
          <w:lang w:val="es-BO"/>
        </w:rPr>
      </w:pPr>
    </w:p>
    <w:p w14:paraId="32D9CE8F" w14:textId="77777777" w:rsidR="00D9762D" w:rsidRPr="00D9762D" w:rsidRDefault="00D9762D" w:rsidP="00D9762D">
      <w:pPr>
        <w:tabs>
          <w:tab w:val="left" w:pos="5040"/>
        </w:tabs>
        <w:spacing w:line="240" w:lineRule="auto"/>
        <w:jc w:val="center"/>
        <w:rPr>
          <w:b/>
          <w:i/>
          <w:sz w:val="20"/>
          <w:szCs w:val="20"/>
          <w:lang w:val="es-BO"/>
        </w:rPr>
      </w:pPr>
      <w:r w:rsidRPr="00D9762D">
        <w:rPr>
          <w:b/>
          <w:i/>
          <w:sz w:val="20"/>
          <w:szCs w:val="20"/>
          <w:lang w:val="es-BO"/>
        </w:rPr>
        <w:t>Benigno Caballero Claure</w:t>
      </w:r>
    </w:p>
    <w:p w14:paraId="68D61BB0" w14:textId="77777777" w:rsidR="00D9762D" w:rsidRPr="00D9762D" w:rsidRDefault="00D9762D" w:rsidP="00D9762D">
      <w:pPr>
        <w:tabs>
          <w:tab w:val="left" w:pos="5040"/>
        </w:tabs>
        <w:spacing w:after="0" w:line="240" w:lineRule="auto"/>
        <w:jc w:val="center"/>
        <w:rPr>
          <w:i/>
          <w:sz w:val="16"/>
          <w:szCs w:val="16"/>
          <w:lang w:val="es-BO"/>
        </w:rPr>
      </w:pPr>
      <w:r w:rsidRPr="00D9762D">
        <w:rPr>
          <w:i/>
          <w:sz w:val="16"/>
          <w:szCs w:val="16"/>
          <w:lang w:val="es-BO"/>
        </w:rPr>
        <w:t>Universidad Técnica de Oruro</w:t>
      </w:r>
    </w:p>
    <w:p w14:paraId="78F123AC" w14:textId="77777777" w:rsidR="00D9762D" w:rsidRPr="00D9762D" w:rsidRDefault="00D9762D" w:rsidP="00D9762D">
      <w:pPr>
        <w:tabs>
          <w:tab w:val="left" w:pos="5040"/>
        </w:tabs>
        <w:spacing w:after="0" w:line="240" w:lineRule="auto"/>
        <w:jc w:val="center"/>
        <w:rPr>
          <w:i/>
          <w:sz w:val="16"/>
          <w:szCs w:val="16"/>
        </w:rPr>
      </w:pPr>
      <w:r w:rsidRPr="00D9762D">
        <w:rPr>
          <w:i/>
          <w:sz w:val="16"/>
          <w:szCs w:val="16"/>
        </w:rPr>
        <w:t>University of Alburquerque (EE.UU.)</w:t>
      </w:r>
    </w:p>
    <w:p w14:paraId="52C6DAF1" w14:textId="3B32AAB1" w:rsidR="00D9762D" w:rsidRDefault="00D9762D" w:rsidP="004B15FB">
      <w:pPr>
        <w:tabs>
          <w:tab w:val="left" w:pos="5040"/>
        </w:tabs>
        <w:spacing w:after="0" w:line="240" w:lineRule="auto"/>
        <w:jc w:val="center"/>
        <w:rPr>
          <w:i/>
          <w:sz w:val="16"/>
          <w:szCs w:val="16"/>
          <w:lang w:val="es-BO"/>
        </w:rPr>
      </w:pPr>
      <w:r w:rsidRPr="00D9762D">
        <w:rPr>
          <w:i/>
          <w:sz w:val="16"/>
          <w:szCs w:val="16"/>
          <w:lang w:val="es-BO"/>
        </w:rPr>
        <w:t>Miembro de la Red Académica de América Latina y el Car</w:t>
      </w:r>
      <w:r w:rsidR="004B15FB">
        <w:rPr>
          <w:i/>
          <w:sz w:val="16"/>
          <w:szCs w:val="16"/>
          <w:lang w:val="es-BO"/>
        </w:rPr>
        <w:t>ibe sobre China (RED ALC-CHINA)</w:t>
      </w:r>
    </w:p>
    <w:p w14:paraId="21CB163A" w14:textId="77777777" w:rsidR="004B15FB" w:rsidRPr="004B15FB" w:rsidRDefault="004B15FB" w:rsidP="004B15FB">
      <w:pPr>
        <w:tabs>
          <w:tab w:val="left" w:pos="5040"/>
        </w:tabs>
        <w:spacing w:after="0" w:line="240" w:lineRule="auto"/>
        <w:jc w:val="center"/>
        <w:rPr>
          <w:i/>
          <w:sz w:val="16"/>
          <w:szCs w:val="16"/>
          <w:lang w:val="es-BO"/>
        </w:rPr>
      </w:pPr>
    </w:p>
    <w:p w14:paraId="31CA3827" w14:textId="77777777" w:rsidR="00D9762D" w:rsidRPr="00D9762D" w:rsidRDefault="00D9762D" w:rsidP="00D9762D">
      <w:pPr>
        <w:tabs>
          <w:tab w:val="left" w:pos="5040"/>
        </w:tabs>
        <w:jc w:val="center"/>
        <w:rPr>
          <w:b/>
          <w:sz w:val="20"/>
          <w:szCs w:val="20"/>
          <w:lang w:val="es-BO"/>
        </w:rPr>
      </w:pPr>
      <w:r w:rsidRPr="00D9762D">
        <w:rPr>
          <w:b/>
          <w:sz w:val="20"/>
          <w:szCs w:val="20"/>
          <w:lang w:val="es-BO"/>
        </w:rPr>
        <w:t>Y</w:t>
      </w:r>
    </w:p>
    <w:p w14:paraId="35D8F986" w14:textId="77777777" w:rsidR="00D9762D" w:rsidRPr="00D9762D" w:rsidRDefault="00D9762D" w:rsidP="00D9762D">
      <w:pPr>
        <w:tabs>
          <w:tab w:val="left" w:pos="5040"/>
        </w:tabs>
        <w:spacing w:line="240" w:lineRule="auto"/>
        <w:ind w:left="62" w:right="539" w:hanging="11"/>
        <w:jc w:val="center"/>
        <w:rPr>
          <w:b/>
          <w:i/>
          <w:sz w:val="20"/>
          <w:szCs w:val="20"/>
          <w:lang w:val="es-BO"/>
        </w:rPr>
      </w:pPr>
      <w:bookmarkStart w:id="0" w:name="_GoBack"/>
      <w:bookmarkEnd w:id="0"/>
      <w:r w:rsidRPr="00D9762D">
        <w:rPr>
          <w:b/>
          <w:i/>
          <w:sz w:val="20"/>
          <w:szCs w:val="20"/>
          <w:lang w:val="es-BO"/>
        </w:rPr>
        <w:t>Rolando Caballero Martínez</w:t>
      </w:r>
    </w:p>
    <w:p w14:paraId="5FE95CD9" w14:textId="77777777" w:rsidR="00D9762D" w:rsidRP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Universidad Nacional Autónoma de México</w:t>
      </w:r>
    </w:p>
    <w:p w14:paraId="169BE280" w14:textId="77777777" w:rsidR="00D9762D" w:rsidRP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Centro de Estudios Monetarios y Financieros (CEMFI, Madrid, España)</w:t>
      </w:r>
    </w:p>
    <w:p w14:paraId="754D1107" w14:textId="3EC1A167" w:rsid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Universidad Católica Boliviana (Santa Cruz, Bolivia)</w:t>
      </w:r>
    </w:p>
    <w:p w14:paraId="2559D3BF" w14:textId="57AC814D" w:rsidR="00D9762D" w:rsidRP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Universidad Técnica de Oruro</w:t>
      </w:r>
    </w:p>
    <w:p w14:paraId="28933327" w14:textId="77777777" w:rsidR="00D9762D" w:rsidRP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Escuela Militar de Ingeniería (La Paz, Bolivia)</w:t>
      </w:r>
    </w:p>
    <w:p w14:paraId="4B5E6055" w14:textId="77777777" w:rsidR="00D9762D" w:rsidRPr="00D9762D" w:rsidRDefault="00D9762D" w:rsidP="00D9762D">
      <w:pPr>
        <w:tabs>
          <w:tab w:val="left" w:pos="5040"/>
        </w:tabs>
        <w:spacing w:after="0" w:line="240" w:lineRule="auto"/>
        <w:ind w:left="62" w:right="539" w:hanging="11"/>
        <w:jc w:val="center"/>
        <w:rPr>
          <w:b/>
          <w:i/>
          <w:sz w:val="16"/>
          <w:szCs w:val="16"/>
          <w:lang w:val="es-BO"/>
        </w:rPr>
      </w:pPr>
      <w:r w:rsidRPr="00D9762D">
        <w:rPr>
          <w:i/>
          <w:sz w:val="16"/>
          <w:szCs w:val="16"/>
          <w:lang w:val="es-BO"/>
        </w:rPr>
        <w:t>Miembro de la Red Académica de América Latina y el Caribe sobre China (RED ALC-CHINA)</w:t>
      </w:r>
      <w:r w:rsidRPr="00D9762D">
        <w:rPr>
          <w:b/>
          <w:i/>
          <w:sz w:val="16"/>
          <w:szCs w:val="16"/>
          <w:lang w:val="es-BO"/>
        </w:rPr>
        <w:t xml:space="preserve"> </w:t>
      </w:r>
    </w:p>
    <w:p w14:paraId="7EA26C60" w14:textId="77777777" w:rsidR="00D9762D" w:rsidRPr="00D9762D" w:rsidRDefault="00D9762D" w:rsidP="00D9762D">
      <w:pPr>
        <w:tabs>
          <w:tab w:val="left" w:pos="5040"/>
        </w:tabs>
        <w:spacing w:after="0" w:line="240" w:lineRule="auto"/>
        <w:ind w:left="62" w:right="539" w:hanging="11"/>
        <w:jc w:val="center"/>
        <w:rPr>
          <w:b/>
          <w:i/>
          <w:sz w:val="16"/>
          <w:szCs w:val="16"/>
          <w:lang w:val="es-BO"/>
        </w:rPr>
      </w:pPr>
      <w:r w:rsidRPr="00D9762D">
        <w:rPr>
          <w:i/>
          <w:sz w:val="16"/>
          <w:szCs w:val="16"/>
          <w:lang w:val="es-BO"/>
        </w:rPr>
        <w:t>Miembro de la Asociación Mexicana de Historia Económica (RED ALC-CHINA)</w:t>
      </w:r>
      <w:r w:rsidRPr="00D9762D">
        <w:rPr>
          <w:b/>
          <w:i/>
          <w:sz w:val="16"/>
          <w:szCs w:val="16"/>
          <w:lang w:val="es-BO"/>
        </w:rPr>
        <w:t xml:space="preserve"> </w:t>
      </w:r>
    </w:p>
    <w:p w14:paraId="3824945D" w14:textId="77777777" w:rsidR="00D9762D" w:rsidRPr="00D9762D" w:rsidRDefault="00D9762D" w:rsidP="00D9762D">
      <w:pPr>
        <w:tabs>
          <w:tab w:val="left" w:pos="5040"/>
        </w:tabs>
        <w:spacing w:after="0" w:line="240" w:lineRule="auto"/>
        <w:ind w:left="62" w:right="539" w:hanging="11"/>
        <w:jc w:val="center"/>
        <w:rPr>
          <w:i/>
          <w:sz w:val="16"/>
          <w:szCs w:val="16"/>
          <w:lang w:val="es-BO"/>
        </w:rPr>
      </w:pPr>
      <w:r w:rsidRPr="00D9762D">
        <w:rPr>
          <w:i/>
          <w:sz w:val="16"/>
          <w:szCs w:val="16"/>
          <w:lang w:val="es-BO"/>
        </w:rPr>
        <w:t>Past Director Ejecutivo Banco de Desarrollo Productivo (BDP-SAM y BDP- ST) (Bolivia)</w:t>
      </w:r>
    </w:p>
    <w:p w14:paraId="6E5C866E" w14:textId="77777777" w:rsidR="00D9762D" w:rsidRPr="00D9762D" w:rsidRDefault="00D9762D" w:rsidP="00D9762D">
      <w:pPr>
        <w:tabs>
          <w:tab w:val="left" w:pos="5040"/>
        </w:tabs>
        <w:spacing w:after="0" w:line="240" w:lineRule="auto"/>
        <w:jc w:val="center"/>
        <w:rPr>
          <w:i/>
          <w:sz w:val="14"/>
          <w:szCs w:val="14"/>
          <w:lang w:val="es-BO"/>
        </w:rPr>
      </w:pPr>
    </w:p>
    <w:p w14:paraId="6E9E1136" w14:textId="1702633C" w:rsidR="00D9762D" w:rsidRPr="00390469" w:rsidRDefault="00D9762D" w:rsidP="00D9762D">
      <w:pPr>
        <w:tabs>
          <w:tab w:val="left" w:pos="5040"/>
        </w:tabs>
        <w:spacing w:before="240"/>
        <w:jc w:val="center"/>
        <w:rPr>
          <w:b/>
          <w:i/>
          <w:sz w:val="20"/>
          <w:szCs w:val="20"/>
          <w:lang w:val="es-BO"/>
        </w:rPr>
      </w:pPr>
      <w:r w:rsidRPr="00390469">
        <w:rPr>
          <w:b/>
          <w:i/>
          <w:sz w:val="20"/>
          <w:szCs w:val="20"/>
          <w:lang w:val="es-BO"/>
        </w:rPr>
        <w:t>Enero del 2024</w:t>
      </w:r>
    </w:p>
    <w:p w14:paraId="00B8A85E" w14:textId="77777777" w:rsidR="00390469" w:rsidRPr="007246B3" w:rsidRDefault="00390469" w:rsidP="00390469">
      <w:pPr>
        <w:widowControl w:val="0"/>
        <w:autoSpaceDE w:val="0"/>
        <w:autoSpaceDN w:val="0"/>
        <w:spacing w:after="0" w:line="360" w:lineRule="auto"/>
        <w:ind w:left="0" w:right="917" w:firstLine="0"/>
        <w:rPr>
          <w:rFonts w:ascii="Times New Roman" w:eastAsia="Times New Roman" w:hAnsi="Times New Roman" w:cs="Times New Roman"/>
          <w:color w:val="auto"/>
          <w:szCs w:val="24"/>
          <w:lang w:val="es-ES"/>
        </w:rPr>
      </w:pPr>
      <w:r w:rsidRPr="00EB00D0">
        <w:rPr>
          <w:rFonts w:ascii="Times New Roman" w:hAnsi="Times New Roman" w:cs="Times New Roman"/>
          <w:b/>
          <w:bCs/>
          <w:szCs w:val="24"/>
          <w:lang w:val="es-BO"/>
        </w:rPr>
        <w:t>Resumen</w:t>
      </w:r>
      <w:r w:rsidRPr="00EB00D0">
        <w:rPr>
          <w:rFonts w:ascii="Times New Roman" w:hAnsi="Times New Roman" w:cs="Times New Roman"/>
          <w:szCs w:val="24"/>
          <w:lang w:val="es-BO"/>
        </w:rPr>
        <w:t xml:space="preserve">: </w:t>
      </w:r>
    </w:p>
    <w:p w14:paraId="471FBD8B" w14:textId="62AE1130" w:rsidR="00390469" w:rsidRPr="006A5D48" w:rsidRDefault="00390469" w:rsidP="00390469">
      <w:pPr>
        <w:spacing w:line="360" w:lineRule="auto"/>
        <w:rPr>
          <w:rFonts w:ascii="Times New Roman" w:hAnsi="Times New Roman" w:cs="Times New Roman"/>
          <w:szCs w:val="24"/>
          <w:lang w:val="es-ES"/>
        </w:rPr>
      </w:pPr>
      <w:r>
        <w:rPr>
          <w:rFonts w:ascii="Times New Roman" w:hAnsi="Times New Roman" w:cs="Times New Roman"/>
          <w:iCs/>
          <w:szCs w:val="24"/>
          <w:lang w:val="es-ES"/>
        </w:rPr>
        <w:t>Este documento</w:t>
      </w:r>
      <w:r>
        <w:rPr>
          <w:rFonts w:ascii="Times New Roman" w:hAnsi="Times New Roman" w:cs="Times New Roman"/>
          <w:iCs/>
          <w:szCs w:val="24"/>
          <w:lang w:val="es-ES"/>
        </w:rPr>
        <w:t xml:space="preserve"> aná</w:t>
      </w:r>
      <w:r>
        <w:rPr>
          <w:rFonts w:ascii="Times New Roman" w:hAnsi="Times New Roman" w:cs="Times New Roman"/>
          <w:iCs/>
          <w:szCs w:val="24"/>
          <w:lang w:val="es-ES"/>
        </w:rPr>
        <w:t xml:space="preserve">liza la evolución y análisis de la política de blancos de inflación en México y Brasil, en el periodo 1994 a 2020 y presenta evidencia que los Bancos Centrales de México y Brasil han intervenido continuamente en los mercados cambiarios para mantener fijo el tipo de cambio nominal y lograr el objetivo de inflación deseado. Sin embargo la misma ha tenido efecto en las finanzas públicas y variables económicas clave en ambas economías, </w:t>
      </w:r>
      <w:r w:rsidRPr="00EB00D0">
        <w:rPr>
          <w:rFonts w:ascii="Times New Roman" w:hAnsi="Times New Roman" w:cs="Times New Roman"/>
          <w:szCs w:val="24"/>
          <w:lang w:val="es-BO"/>
        </w:rPr>
        <w:t xml:space="preserve">para tal efecto se utiliza los modelos markovianos: </w:t>
      </w:r>
      <w:r w:rsidRPr="00EB00D0">
        <w:rPr>
          <w:rFonts w:ascii="Times New Roman" w:hAnsi="Times New Roman" w:cs="Times New Roman"/>
          <w:b/>
          <w:i/>
          <w:szCs w:val="24"/>
          <w:lang w:val="es-BO"/>
        </w:rPr>
        <w:t>Switching Markov Regression</w:t>
      </w:r>
      <w:r w:rsidRPr="00EB00D0">
        <w:rPr>
          <w:rFonts w:ascii="Times New Roman" w:hAnsi="Times New Roman" w:cs="Times New Roman"/>
          <w:szCs w:val="24"/>
          <w:lang w:val="es-BO"/>
        </w:rPr>
        <w:t xml:space="preserve"> </w:t>
      </w:r>
      <w:r w:rsidRPr="00EB00D0">
        <w:rPr>
          <w:rFonts w:ascii="Times New Roman" w:hAnsi="Times New Roman" w:cs="Times New Roman"/>
          <w:i/>
          <w:szCs w:val="24"/>
          <w:lang w:val="es-BO"/>
        </w:rPr>
        <w:t xml:space="preserve">de orden 2 </w:t>
      </w:r>
      <w:r w:rsidRPr="00EB00D0">
        <w:rPr>
          <w:rFonts w:ascii="Times New Roman" w:hAnsi="Times New Roman" w:cs="Times New Roman"/>
          <w:szCs w:val="24"/>
          <w:lang w:val="es-BO"/>
        </w:rPr>
        <w:t>[</w:t>
      </w:r>
      <w:r w:rsidRPr="00EB00D0">
        <w:rPr>
          <w:rFonts w:ascii="Times New Roman" w:hAnsi="Times New Roman" w:cs="Times New Roman"/>
          <w:b/>
          <w:bCs/>
          <w:szCs w:val="24"/>
          <w:lang w:val="es-BO"/>
        </w:rPr>
        <w:t>MSARX(2)</w:t>
      </w:r>
      <w:r w:rsidRPr="00EB00D0">
        <w:rPr>
          <w:rFonts w:ascii="Times New Roman" w:hAnsi="Times New Roman" w:cs="Times New Roman"/>
          <w:szCs w:val="24"/>
          <w:lang w:val="es-BO"/>
        </w:rPr>
        <w:t xml:space="preserve">], con parámetros autoregresivos, una </w:t>
      </w:r>
      <w:r w:rsidRPr="00EB00D0">
        <w:rPr>
          <w:rFonts w:ascii="Times New Roman" w:hAnsi="Times New Roman" w:cs="Times New Roman"/>
          <w:i/>
          <w:szCs w:val="24"/>
          <w:lang w:val="es-BO"/>
        </w:rPr>
        <w:t>dummy de tendencia</w:t>
      </w:r>
      <w:r w:rsidRPr="00EB00D0">
        <w:rPr>
          <w:rFonts w:ascii="Times New Roman" w:hAnsi="Times New Roman" w:cs="Times New Roman"/>
          <w:szCs w:val="24"/>
          <w:lang w:val="es-BO"/>
        </w:rPr>
        <w:t xml:space="preserve">. Los resultados demuestran, </w:t>
      </w:r>
      <w:r w:rsidRPr="006A5D48">
        <w:rPr>
          <w:rFonts w:ascii="Times New Roman" w:hAnsi="Times New Roman" w:cs="Times New Roman"/>
          <w:szCs w:val="24"/>
          <w:lang w:val="es-ES"/>
        </w:rPr>
        <w:t>A su vez en economías en vías de desarrollo, la intervención esterilizada en el mercado cambiario para tener un control sobre la dirección que vaya a seguir el tipo de cambio y así lograr el objetivo de inflación tiene otras connotaciones asociadas principalmente con la presencia de elevados costos fiscales y económicos. Respecto a los costos fiscales, las operaciones de esterilización están ligadas a un incremento en la deuda interna, debido en parte a que la esterilización de los efectos monetarios que generan los flujos de capital sobre la base monetaria necesita de la emisión de títulos públicos.</w:t>
      </w:r>
    </w:p>
    <w:p w14:paraId="27B75B76" w14:textId="77777777" w:rsidR="00390469" w:rsidRPr="006A5D48" w:rsidRDefault="00390469" w:rsidP="00390469">
      <w:pPr>
        <w:spacing w:line="360" w:lineRule="auto"/>
        <w:rPr>
          <w:rFonts w:ascii="Times New Roman" w:hAnsi="Times New Roman" w:cs="Times New Roman"/>
          <w:szCs w:val="24"/>
          <w:lang w:val="es-ES"/>
        </w:rPr>
      </w:pPr>
    </w:p>
    <w:p w14:paraId="403C7444" w14:textId="77777777" w:rsidR="00390469" w:rsidRPr="00EB00D0" w:rsidRDefault="00390469" w:rsidP="00390469">
      <w:pPr>
        <w:autoSpaceDE w:val="0"/>
        <w:autoSpaceDN w:val="0"/>
        <w:adjustRightInd w:val="0"/>
        <w:spacing w:line="360" w:lineRule="auto"/>
        <w:rPr>
          <w:rFonts w:ascii="Times New Roman" w:hAnsi="Times New Roman" w:cs="Times New Roman"/>
          <w:szCs w:val="24"/>
          <w:lang w:val="es-BO"/>
        </w:rPr>
      </w:pPr>
      <w:r w:rsidRPr="00EB00D0">
        <w:rPr>
          <w:rFonts w:ascii="Times New Roman" w:hAnsi="Times New Roman" w:cs="Times New Roman"/>
          <w:szCs w:val="24"/>
          <w:lang w:val="es-BO"/>
        </w:rPr>
        <w:t>CLASIFICACIÓN JEL: E47, C22, E31</w:t>
      </w:r>
    </w:p>
    <w:p w14:paraId="6A452998" w14:textId="77777777" w:rsidR="00390469" w:rsidRDefault="00390469" w:rsidP="00390469">
      <w:pPr>
        <w:autoSpaceDE w:val="0"/>
        <w:autoSpaceDN w:val="0"/>
        <w:adjustRightInd w:val="0"/>
        <w:spacing w:line="360" w:lineRule="auto"/>
        <w:rPr>
          <w:rFonts w:ascii="Times New Roman" w:hAnsi="Times New Roman" w:cs="Times New Roman"/>
          <w:b/>
          <w:szCs w:val="24"/>
          <w:lang w:val="es-BO"/>
        </w:rPr>
      </w:pPr>
    </w:p>
    <w:p w14:paraId="7A59A4B3" w14:textId="77777777" w:rsidR="00390469" w:rsidRPr="00EB00D0" w:rsidRDefault="00390469" w:rsidP="00390469">
      <w:pPr>
        <w:autoSpaceDE w:val="0"/>
        <w:autoSpaceDN w:val="0"/>
        <w:adjustRightInd w:val="0"/>
        <w:spacing w:line="360" w:lineRule="auto"/>
        <w:rPr>
          <w:rFonts w:ascii="Times New Roman" w:hAnsi="Times New Roman" w:cs="Times New Roman"/>
          <w:bCs/>
          <w:i/>
          <w:szCs w:val="24"/>
          <w:lang w:val="es-BO"/>
        </w:rPr>
      </w:pPr>
      <w:r w:rsidRPr="00EB00D0">
        <w:rPr>
          <w:rFonts w:ascii="Times New Roman" w:hAnsi="Times New Roman" w:cs="Times New Roman"/>
          <w:b/>
          <w:szCs w:val="24"/>
          <w:lang w:val="es-BO"/>
        </w:rPr>
        <w:t>Palabras clave</w:t>
      </w:r>
      <w:r w:rsidRPr="00EB00D0">
        <w:rPr>
          <w:rFonts w:ascii="Times New Roman" w:hAnsi="Times New Roman" w:cs="Times New Roman"/>
          <w:szCs w:val="24"/>
          <w:lang w:val="es-BO"/>
        </w:rPr>
        <w:t>: Pronóstico y Simulación, Modelos de Series de Tiempo, Inflación</w:t>
      </w:r>
    </w:p>
    <w:p w14:paraId="5C106A3A" w14:textId="77777777" w:rsidR="00390469" w:rsidRDefault="00390469" w:rsidP="00390469">
      <w:pPr>
        <w:spacing w:after="0" w:line="259" w:lineRule="auto"/>
        <w:ind w:left="50" w:right="0" w:firstLine="0"/>
        <w:jc w:val="left"/>
        <w:rPr>
          <w:rFonts w:eastAsia="Times New Roman"/>
          <w:sz w:val="22"/>
          <w:lang w:val="es-BO"/>
        </w:rPr>
      </w:pPr>
    </w:p>
    <w:p w14:paraId="0D8E7D37" w14:textId="77777777" w:rsidR="00390469" w:rsidRDefault="00390469" w:rsidP="006264E8">
      <w:pPr>
        <w:spacing w:after="0" w:line="360" w:lineRule="auto"/>
        <w:ind w:left="0" w:right="0" w:firstLine="0"/>
        <w:jc w:val="left"/>
        <w:rPr>
          <w:rFonts w:ascii="Times New Roman" w:hAnsi="Times New Roman" w:cs="Times New Roman"/>
          <w:b/>
          <w:szCs w:val="24"/>
          <w:lang w:val="es-BO"/>
        </w:rPr>
      </w:pPr>
    </w:p>
    <w:p w14:paraId="2A2CEF35" w14:textId="77777777" w:rsidR="00390469" w:rsidRDefault="00390469" w:rsidP="006264E8">
      <w:pPr>
        <w:spacing w:after="0" w:line="360" w:lineRule="auto"/>
        <w:ind w:left="0" w:right="0" w:firstLine="0"/>
        <w:jc w:val="left"/>
        <w:rPr>
          <w:rFonts w:ascii="Times New Roman" w:hAnsi="Times New Roman" w:cs="Times New Roman"/>
          <w:b/>
          <w:szCs w:val="24"/>
          <w:lang w:val="es-BO"/>
        </w:rPr>
      </w:pPr>
    </w:p>
    <w:p w14:paraId="60A001DD" w14:textId="77777777" w:rsidR="00390469" w:rsidRDefault="00390469" w:rsidP="006264E8">
      <w:pPr>
        <w:spacing w:after="0" w:line="360" w:lineRule="auto"/>
        <w:ind w:left="0" w:right="0" w:firstLine="0"/>
        <w:jc w:val="left"/>
        <w:rPr>
          <w:rFonts w:ascii="Times New Roman" w:hAnsi="Times New Roman" w:cs="Times New Roman"/>
          <w:b/>
          <w:szCs w:val="24"/>
          <w:lang w:val="es-BO"/>
        </w:rPr>
      </w:pPr>
    </w:p>
    <w:p w14:paraId="5A3CC022" w14:textId="32796E6C" w:rsidR="00746790" w:rsidRPr="00D5045F" w:rsidRDefault="00390469" w:rsidP="006264E8">
      <w:pPr>
        <w:spacing w:after="0" w:line="360" w:lineRule="auto"/>
        <w:ind w:left="0" w:right="0" w:firstLine="0"/>
        <w:jc w:val="left"/>
        <w:rPr>
          <w:lang w:val="es-BO"/>
        </w:rPr>
      </w:pPr>
      <w:r>
        <w:rPr>
          <w:rFonts w:ascii="Times New Roman" w:hAnsi="Times New Roman" w:cs="Times New Roman"/>
          <w:b/>
          <w:szCs w:val="24"/>
          <w:lang w:val="es-BO"/>
        </w:rPr>
        <w:lastRenderedPageBreak/>
        <w:t>I</w:t>
      </w:r>
      <w:r w:rsidR="00AC4A2B" w:rsidRPr="00D5045F">
        <w:rPr>
          <w:rFonts w:ascii="Times New Roman" w:hAnsi="Times New Roman" w:cs="Times New Roman"/>
          <w:b/>
          <w:szCs w:val="24"/>
          <w:lang w:val="es-BO"/>
        </w:rPr>
        <w:t>ntroducción</w:t>
      </w:r>
    </w:p>
    <w:p w14:paraId="1CF78A97" w14:textId="107DA222" w:rsidR="007246B3" w:rsidRPr="007246B3" w:rsidRDefault="007246B3" w:rsidP="005B60B5">
      <w:pPr>
        <w:widowControl w:val="0"/>
        <w:autoSpaceDE w:val="0"/>
        <w:autoSpaceDN w:val="0"/>
        <w:spacing w:after="0" w:line="360" w:lineRule="auto"/>
        <w:ind w:left="0" w:right="910"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régimen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 objetivos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 inflación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(ROI)</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tiene su</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cimiento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teórico 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Nuevo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Consenso Monetarista (NCM), que representa el principal eje de la política monetaria de</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mayoría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los</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Bancos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Centrales.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este</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esquema,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estabilidad</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precios</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es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meta</w:t>
      </w:r>
      <w:r w:rsidR="00047396">
        <w:rPr>
          <w:rFonts w:ascii="Times New Roman" w:eastAsia="Times New Roman" w:hAnsi="Times New Roman" w:cs="Times New Roman"/>
          <w:color w:val="auto"/>
          <w:szCs w:val="24"/>
          <w:lang w:val="es-ES"/>
        </w:rPr>
        <w:t xml:space="preserve"> </w:t>
      </w:r>
      <w:r w:rsidRPr="007246B3">
        <w:rPr>
          <w:rFonts w:ascii="Times New Roman" w:eastAsia="Times New Roman" w:hAnsi="Times New Roman" w:cs="Times New Roman"/>
          <w:color w:val="auto"/>
          <w:spacing w:val="-58"/>
          <w:szCs w:val="24"/>
          <w:lang w:val="es-ES"/>
        </w:rPr>
        <w:t xml:space="preserve"> </w:t>
      </w:r>
      <w:r w:rsidR="00047396">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principal por lograr por parte de la política monetaria, ya que se considera que ésta es 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mejor aportación que la política monetaria puede ejercer para el crecimiento económico.</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En la estrategia del objetivo de inflación, la autoridad monetaria orienta su política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monetaria, con el fin de alcanzar un objetivo de inflación preestablecido. Si la inflación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proyectada se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desvía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 inflación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objetivo,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Banco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Central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aplica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una política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monetaria</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tal manera que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 inflación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retorne 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ese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objetivo.</w:t>
      </w:r>
    </w:p>
    <w:p w14:paraId="5F8C8E75" w14:textId="77777777" w:rsidR="007246B3" w:rsidRPr="007246B3" w:rsidRDefault="007246B3" w:rsidP="005B60B5">
      <w:pPr>
        <w:widowControl w:val="0"/>
        <w:autoSpaceDE w:val="0"/>
        <w:autoSpaceDN w:val="0"/>
        <w:spacing w:after="0" w:line="360" w:lineRule="auto"/>
        <w:ind w:left="0" w:right="908"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Dado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se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utiliza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política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monetaria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para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logro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objetivo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inflación,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fluctuaciones de las tasas de interés pueden ejercer una presión importante sobre 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mercado</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cambiario,</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dadas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características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las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economías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latinoamericanas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vías</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desarrollo,</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mayoría</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las</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autoridades</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monetarias</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no</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toleraran</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nominal fluctué de manera significativa. Por tanto, las intervenciones para contener 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volatilidad</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su</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respectivo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nivel</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suelen</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ser</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norma</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algunos</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países</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mediante la posibilidad de que el banco central compre o venda activos extranjeros,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siempre y cuando dicha estrategia de política monetaria tenga por objeto amortiguar las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perturbaciones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primer</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momento</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estadístico</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algunos</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países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o</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manera paralela mantener controlado su segundo momento estadístico, que a su vez no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estén</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justificados por las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variables fundamentales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la economía.</w:t>
      </w:r>
    </w:p>
    <w:p w14:paraId="2E4202E9" w14:textId="77777777" w:rsidR="007246B3" w:rsidRPr="007246B3" w:rsidRDefault="007246B3" w:rsidP="005B60B5">
      <w:pPr>
        <w:widowControl w:val="0"/>
        <w:autoSpaceDE w:val="0"/>
        <w:autoSpaceDN w:val="0"/>
        <w:spacing w:after="0" w:line="360" w:lineRule="auto"/>
        <w:ind w:left="0" w:right="907"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Sin embargo, la adopción de un régimen de objetivos de inflación, ROI, por parte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México y Brasil implica a menudo una política monetaria acompañada de altas tasas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interés, sobreacumulación de reservas internacionales y continua intervención en los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mercados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cambiarios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por</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parte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ambos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Bancos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Centrales</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(BC).</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Asimismo,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una</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política</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monetaria basada en objetivos de inflación requiere inicialmente de un tipo de cambio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flotante; no obstante, en ambos se cumple el denominado miedo a flotar por lo que se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interviene</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el mercado</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divisas.</w:t>
      </w:r>
    </w:p>
    <w:p w14:paraId="1C9EF2C9" w14:textId="77777777" w:rsidR="007246B3" w:rsidRPr="007246B3" w:rsidRDefault="007246B3" w:rsidP="005B60B5">
      <w:pPr>
        <w:widowControl w:val="0"/>
        <w:autoSpaceDE w:val="0"/>
        <w:autoSpaceDN w:val="0"/>
        <w:spacing w:after="0" w:line="360" w:lineRule="auto"/>
        <w:ind w:left="0" w:right="911"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Por su parte el cumplimiento del objetivo de inflación en países en desarrollo como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México</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viene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ligado</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mantener</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anclado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nominal</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por</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tanto,</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una continua intervención esterilizada en los mercados cambiarios con la finalidad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mantener</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estable esta variable.</w:t>
      </w:r>
    </w:p>
    <w:p w14:paraId="18D4C544" w14:textId="77777777" w:rsidR="007246B3" w:rsidRPr="007246B3" w:rsidRDefault="007246B3" w:rsidP="005B60B5">
      <w:pPr>
        <w:widowControl w:val="0"/>
        <w:autoSpaceDE w:val="0"/>
        <w:autoSpaceDN w:val="0"/>
        <w:spacing w:after="0" w:line="360" w:lineRule="auto"/>
        <w:ind w:left="0" w:right="905"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De acuerdo con esta perspectiva, el objetivo general de esta investigación es analizar 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mecanismo monetario que les permitió a los bancos centrales de México (BANXICO) y</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Brasil (BCB), cumplir con el objetivo de inflación establecido. Haciendo énfasis en 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relación entre el tipo de cambio real, la estabilidad monetaria, la intervención en los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mercados cambiarios, la evolución de las reservas internacionales y la deuda interna 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México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así</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como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sus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efectos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economía.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Además,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identificando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cuantitativamente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si</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volatilidad</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cambio real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ha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permanecido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controlada.</w:t>
      </w:r>
    </w:p>
    <w:p w14:paraId="3CBBB98E" w14:textId="4D7AF44B" w:rsidR="007246B3" w:rsidRPr="007246B3" w:rsidRDefault="007246B3" w:rsidP="005B60B5">
      <w:pPr>
        <w:widowControl w:val="0"/>
        <w:autoSpaceDE w:val="0"/>
        <w:autoSpaceDN w:val="0"/>
        <w:spacing w:after="0" w:line="360" w:lineRule="auto"/>
        <w:ind w:left="0" w:right="921"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esa</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línea,</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11"/>
          <w:szCs w:val="24"/>
          <w:lang w:val="es-ES"/>
        </w:rPr>
        <w:t xml:space="preserve"> </w:t>
      </w:r>
      <w:r w:rsidRPr="007246B3">
        <w:rPr>
          <w:rFonts w:ascii="Times New Roman" w:eastAsia="Times New Roman" w:hAnsi="Times New Roman" w:cs="Times New Roman"/>
          <w:color w:val="auto"/>
          <w:szCs w:val="24"/>
          <w:lang w:val="es-ES"/>
        </w:rPr>
        <w:t>aplicabilidad</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12"/>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“éxito”</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esquema</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objetivos</w:t>
      </w:r>
      <w:r w:rsidRPr="007246B3">
        <w:rPr>
          <w:rFonts w:ascii="Times New Roman" w:eastAsia="Times New Roman" w:hAnsi="Times New Roman" w:cs="Times New Roman"/>
          <w:color w:val="auto"/>
          <w:spacing w:val="-12"/>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inflación</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2"/>
          <w:szCs w:val="24"/>
          <w:lang w:val="es-ES"/>
        </w:rPr>
        <w:t xml:space="preserve"> </w:t>
      </w:r>
      <w:r w:rsidRPr="007246B3">
        <w:rPr>
          <w:rFonts w:ascii="Times New Roman" w:eastAsia="Times New Roman" w:hAnsi="Times New Roman" w:cs="Times New Roman"/>
          <w:color w:val="auto"/>
          <w:szCs w:val="24"/>
          <w:lang w:val="es-ES"/>
        </w:rPr>
        <w:t>México</w:t>
      </w:r>
      <w:r w:rsidR="000924A6">
        <w:rPr>
          <w:rFonts w:ascii="Times New Roman" w:eastAsia="Times New Roman" w:hAnsi="Times New Roman" w:cs="Times New Roman"/>
          <w:color w:val="auto"/>
          <w:szCs w:val="24"/>
          <w:lang w:val="es-ES"/>
        </w:rPr>
        <w:t xml:space="preserve"> </w:t>
      </w:r>
      <w:r w:rsidRPr="007246B3">
        <w:rPr>
          <w:rFonts w:ascii="Times New Roman" w:eastAsia="Times New Roman" w:hAnsi="Times New Roman" w:cs="Times New Roman"/>
          <w:color w:val="auto"/>
          <w:spacing w:val="-58"/>
          <w:szCs w:val="24"/>
          <w:lang w:val="es-ES"/>
        </w:rPr>
        <w:t xml:space="preserve"> </w:t>
      </w:r>
      <w:r w:rsidR="000924A6">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depende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gran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medida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una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continua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intervención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mercados</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cambiarios por parte de sus autoridades monetarias, fruto de una sobreacumulación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reservas internacionales y emisión de títulos públicos. Logrando de esta manera, 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estabilidad</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nominal,</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pero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no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puede</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evadir</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continua</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apreciación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del</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cambio real.</w:t>
      </w:r>
    </w:p>
    <w:p w14:paraId="3056A759" w14:textId="77777777" w:rsidR="007246B3" w:rsidRPr="007246B3" w:rsidRDefault="007246B3" w:rsidP="005B60B5">
      <w:pPr>
        <w:widowControl w:val="0"/>
        <w:autoSpaceDE w:val="0"/>
        <w:autoSpaceDN w:val="0"/>
        <w:spacing w:after="0" w:line="360" w:lineRule="auto"/>
        <w:ind w:left="0" w:right="917"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 xml:space="preserve">Consideramos como </w:t>
      </w:r>
      <w:r w:rsidRPr="009E2F92">
        <w:rPr>
          <w:rFonts w:ascii="Times New Roman" w:eastAsia="Times New Roman" w:hAnsi="Times New Roman" w:cs="Times New Roman"/>
          <w:i/>
          <w:color w:val="auto"/>
          <w:szCs w:val="24"/>
          <w:lang w:val="es-ES"/>
        </w:rPr>
        <w:t>hipótesis de la investigación</w:t>
      </w:r>
      <w:r w:rsidRPr="007246B3">
        <w:rPr>
          <w:rFonts w:ascii="Times New Roman" w:eastAsia="Times New Roman" w:hAnsi="Times New Roman" w:cs="Times New Roman"/>
          <w:color w:val="auto"/>
          <w:szCs w:val="24"/>
          <w:lang w:val="es-ES"/>
        </w:rPr>
        <w:t xml:space="preserve"> que los Bancos Centrales de países en</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vías</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desarrollo</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como</w:t>
      </w:r>
      <w:r w:rsidRPr="007246B3">
        <w:rPr>
          <w:rFonts w:ascii="Times New Roman" w:eastAsia="Times New Roman" w:hAnsi="Times New Roman" w:cs="Times New Roman"/>
          <w:color w:val="auto"/>
          <w:spacing w:val="-11"/>
          <w:szCs w:val="24"/>
          <w:lang w:val="es-ES"/>
        </w:rPr>
        <w:t xml:space="preserve"> </w:t>
      </w:r>
      <w:r w:rsidRPr="007246B3">
        <w:rPr>
          <w:rFonts w:ascii="Times New Roman" w:eastAsia="Times New Roman" w:hAnsi="Times New Roman" w:cs="Times New Roman"/>
          <w:color w:val="auto"/>
          <w:szCs w:val="24"/>
          <w:lang w:val="es-ES"/>
        </w:rPr>
        <w:t>México</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han</w:t>
      </w:r>
      <w:r w:rsidRPr="007246B3">
        <w:rPr>
          <w:rFonts w:ascii="Times New Roman" w:eastAsia="Times New Roman" w:hAnsi="Times New Roman" w:cs="Times New Roman"/>
          <w:color w:val="auto"/>
          <w:spacing w:val="-11"/>
          <w:szCs w:val="24"/>
          <w:lang w:val="es-ES"/>
        </w:rPr>
        <w:t xml:space="preserve"> </w:t>
      </w:r>
      <w:r w:rsidRPr="007246B3">
        <w:rPr>
          <w:rFonts w:ascii="Times New Roman" w:eastAsia="Times New Roman" w:hAnsi="Times New Roman" w:cs="Times New Roman"/>
          <w:color w:val="auto"/>
          <w:szCs w:val="24"/>
          <w:lang w:val="es-ES"/>
        </w:rPr>
        <w:t>intervenido</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los</w:t>
      </w:r>
      <w:r w:rsidRPr="007246B3">
        <w:rPr>
          <w:rFonts w:ascii="Times New Roman" w:eastAsia="Times New Roman" w:hAnsi="Times New Roman" w:cs="Times New Roman"/>
          <w:color w:val="auto"/>
          <w:spacing w:val="-12"/>
          <w:szCs w:val="24"/>
          <w:lang w:val="es-ES"/>
        </w:rPr>
        <w:t xml:space="preserve"> </w:t>
      </w:r>
      <w:r w:rsidRPr="007246B3">
        <w:rPr>
          <w:rFonts w:ascii="Times New Roman" w:eastAsia="Times New Roman" w:hAnsi="Times New Roman" w:cs="Times New Roman"/>
          <w:color w:val="auto"/>
          <w:szCs w:val="24"/>
          <w:lang w:val="es-ES"/>
        </w:rPr>
        <w:t>mercados</w:t>
      </w:r>
      <w:r w:rsidRPr="007246B3">
        <w:rPr>
          <w:rFonts w:ascii="Times New Roman" w:eastAsia="Times New Roman" w:hAnsi="Times New Roman" w:cs="Times New Roman"/>
          <w:color w:val="auto"/>
          <w:spacing w:val="-11"/>
          <w:szCs w:val="24"/>
          <w:lang w:val="es-ES"/>
        </w:rPr>
        <w:t xml:space="preserve"> </w:t>
      </w:r>
      <w:r w:rsidRPr="007246B3">
        <w:rPr>
          <w:rFonts w:ascii="Times New Roman" w:eastAsia="Times New Roman" w:hAnsi="Times New Roman" w:cs="Times New Roman"/>
          <w:color w:val="auto"/>
          <w:szCs w:val="24"/>
          <w:lang w:val="es-ES"/>
        </w:rPr>
        <w:t>cambiarios</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para</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mantener fijo el tipo de cambio nominal para controlar la inflación. Sin embargo, esta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política</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implica</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las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autoridades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monetarias</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2"/>
          <w:szCs w:val="24"/>
          <w:lang w:val="es-ES"/>
        </w:rPr>
        <w:t xml:space="preserve"> </w:t>
      </w:r>
      <w:r w:rsidRPr="007246B3">
        <w:rPr>
          <w:rFonts w:ascii="Times New Roman" w:eastAsia="Times New Roman" w:hAnsi="Times New Roman" w:cs="Times New Roman"/>
          <w:color w:val="auto"/>
          <w:szCs w:val="24"/>
          <w:lang w:val="es-ES"/>
        </w:rPr>
        <w:t>México</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tengan</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establecer</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un</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intervalo</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variación</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para</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tipo</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0"/>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nominal</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así</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evitar</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fluctuaciones</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9"/>
          <w:szCs w:val="24"/>
          <w:lang w:val="es-ES"/>
        </w:rPr>
        <w:t xml:space="preserve"> </w:t>
      </w:r>
      <w:r w:rsidRPr="007246B3">
        <w:rPr>
          <w:rFonts w:ascii="Times New Roman" w:eastAsia="Times New Roman" w:hAnsi="Times New Roman" w:cs="Times New Roman"/>
          <w:color w:val="auto"/>
          <w:szCs w:val="24"/>
          <w:lang w:val="es-ES"/>
        </w:rPr>
        <w:t>esta</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variable. No obstante, la misma no ha podido evitar la mayor apreciación del tipo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real, manteniendo 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volatilidad estable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 esta</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última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variable.</w:t>
      </w:r>
    </w:p>
    <w:p w14:paraId="075EBC01" w14:textId="77777777" w:rsidR="007246B3" w:rsidRPr="007246B3" w:rsidRDefault="007246B3" w:rsidP="005B60B5">
      <w:pPr>
        <w:widowControl w:val="0"/>
        <w:autoSpaceDE w:val="0"/>
        <w:autoSpaceDN w:val="0"/>
        <w:spacing w:after="0" w:line="360" w:lineRule="auto"/>
        <w:ind w:left="0" w:right="915"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A su vez en economías en vías de desarrollo, la intervención esterilizada en el mercado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cambiario para tener un control sobre la dirección que vaya a seguir el tipo de cambio y</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así</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lograr</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el</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objetivo</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inflación</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tiene</w:t>
      </w:r>
      <w:r w:rsidRPr="007246B3">
        <w:rPr>
          <w:rFonts w:ascii="Times New Roman" w:eastAsia="Times New Roman" w:hAnsi="Times New Roman" w:cs="Times New Roman"/>
          <w:color w:val="auto"/>
          <w:spacing w:val="-8"/>
          <w:szCs w:val="24"/>
          <w:lang w:val="es-ES"/>
        </w:rPr>
        <w:t xml:space="preserve"> </w:t>
      </w:r>
      <w:r w:rsidRPr="007246B3">
        <w:rPr>
          <w:rFonts w:ascii="Times New Roman" w:eastAsia="Times New Roman" w:hAnsi="Times New Roman" w:cs="Times New Roman"/>
          <w:color w:val="auto"/>
          <w:szCs w:val="24"/>
          <w:lang w:val="es-ES"/>
        </w:rPr>
        <w:t>otras</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connotaciones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asociadas</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principalmente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con</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la presencia de elevados costos fiscales y económicos. Respecto a los costos fiscales, las</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operaciones de esterilización están ligadas a un incremento en la deuda interna, debido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en</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parte</w:t>
      </w:r>
      <w:r w:rsidRPr="007246B3">
        <w:rPr>
          <w:rFonts w:ascii="Times New Roman" w:eastAsia="Times New Roman" w:hAnsi="Times New Roman" w:cs="Times New Roman"/>
          <w:color w:val="auto"/>
          <w:spacing w:val="-4"/>
          <w:szCs w:val="24"/>
          <w:lang w:val="es-ES"/>
        </w:rPr>
        <w:t xml:space="preserve"> </w:t>
      </w:r>
      <w:r w:rsidRPr="007246B3">
        <w:rPr>
          <w:rFonts w:ascii="Times New Roman" w:eastAsia="Times New Roman" w:hAnsi="Times New Roman" w:cs="Times New Roman"/>
          <w:color w:val="auto"/>
          <w:szCs w:val="24"/>
          <w:lang w:val="es-ES"/>
        </w:rPr>
        <w:t>a</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esterilización</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los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efectos</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monetarios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7"/>
          <w:szCs w:val="24"/>
          <w:lang w:val="es-ES"/>
        </w:rPr>
        <w:t xml:space="preserve"> </w:t>
      </w:r>
      <w:r w:rsidRPr="007246B3">
        <w:rPr>
          <w:rFonts w:ascii="Times New Roman" w:eastAsia="Times New Roman" w:hAnsi="Times New Roman" w:cs="Times New Roman"/>
          <w:color w:val="auto"/>
          <w:szCs w:val="24"/>
          <w:lang w:val="es-ES"/>
        </w:rPr>
        <w:t>generan</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los</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flujos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capital</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sobre</w:t>
      </w:r>
      <w:r w:rsidRPr="007246B3">
        <w:rPr>
          <w:rFonts w:ascii="Times New Roman" w:eastAsia="Times New Roman" w:hAnsi="Times New Roman" w:cs="Times New Roman"/>
          <w:color w:val="auto"/>
          <w:spacing w:val="-3"/>
          <w:szCs w:val="24"/>
          <w:lang w:val="es-ES"/>
        </w:rPr>
        <w:t xml:space="preserve"> </w:t>
      </w:r>
      <w:r w:rsidRPr="007246B3">
        <w:rPr>
          <w:rFonts w:ascii="Times New Roman" w:eastAsia="Times New Roman" w:hAnsi="Times New Roman" w:cs="Times New Roman"/>
          <w:color w:val="auto"/>
          <w:szCs w:val="24"/>
          <w:lang w:val="es-ES"/>
        </w:rPr>
        <w:t>la base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monetaria necesita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emisión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títulos públicos.</w:t>
      </w:r>
    </w:p>
    <w:p w14:paraId="6F838F1B" w14:textId="415F6BDD" w:rsidR="007246B3" w:rsidRPr="007246B3" w:rsidRDefault="000924A6" w:rsidP="005B60B5">
      <w:pPr>
        <w:widowControl w:val="0"/>
        <w:autoSpaceDE w:val="0"/>
        <w:autoSpaceDN w:val="0"/>
        <w:spacing w:after="0" w:line="360" w:lineRule="auto"/>
        <w:ind w:left="0" w:right="0" w:firstLine="0"/>
        <w:rPr>
          <w:rFonts w:ascii="Times New Roman" w:eastAsia="Times New Roman" w:hAnsi="Times New Roman" w:cs="Times New Roman"/>
          <w:color w:val="auto"/>
          <w:szCs w:val="24"/>
          <w:lang w:val="es-ES"/>
        </w:rPr>
      </w:pPr>
      <w:r>
        <w:rPr>
          <w:rFonts w:ascii="Times New Roman" w:eastAsia="Times New Roman" w:hAnsi="Times New Roman" w:cs="Times New Roman"/>
          <w:color w:val="auto"/>
          <w:szCs w:val="24"/>
          <w:lang w:val="es-ES"/>
        </w:rPr>
        <w:t xml:space="preserve">El presente documento de investigación, </w:t>
      </w:r>
      <w:r w:rsidR="007246B3" w:rsidRPr="007246B3">
        <w:rPr>
          <w:rFonts w:ascii="Times New Roman" w:eastAsia="Times New Roman" w:hAnsi="Times New Roman" w:cs="Times New Roman"/>
          <w:color w:val="auto"/>
          <w:szCs w:val="24"/>
          <w:lang w:val="es-ES"/>
        </w:rPr>
        <w:t>se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estructuró</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en</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tres</w:t>
      </w:r>
      <w:r w:rsidR="007246B3" w:rsidRPr="007246B3">
        <w:rPr>
          <w:rFonts w:ascii="Times New Roman" w:eastAsia="Times New Roman" w:hAnsi="Times New Roman" w:cs="Times New Roman"/>
          <w:color w:val="auto"/>
          <w:spacing w:val="1"/>
          <w:szCs w:val="24"/>
          <w:lang w:val="es-ES"/>
        </w:rPr>
        <w:t xml:space="preserve"> </w:t>
      </w:r>
      <w:r>
        <w:rPr>
          <w:rFonts w:ascii="Times New Roman" w:eastAsia="Times New Roman" w:hAnsi="Times New Roman" w:cs="Times New Roman"/>
          <w:color w:val="auto"/>
          <w:szCs w:val="24"/>
          <w:lang w:val="es-ES"/>
        </w:rPr>
        <w:t>acápites</w:t>
      </w:r>
      <w:r w:rsidR="007246B3" w:rsidRPr="007246B3">
        <w:rPr>
          <w:rFonts w:ascii="Times New Roman" w:eastAsia="Times New Roman" w:hAnsi="Times New Roman" w:cs="Times New Roman"/>
          <w:color w:val="auto"/>
          <w:szCs w:val="24"/>
          <w:lang w:val="es-ES"/>
        </w:rPr>
        <w:t>:</w:t>
      </w:r>
    </w:p>
    <w:p w14:paraId="2515F81F" w14:textId="78693E8B" w:rsidR="007246B3" w:rsidRPr="007246B3" w:rsidRDefault="000924A6" w:rsidP="005B60B5">
      <w:pPr>
        <w:widowControl w:val="0"/>
        <w:autoSpaceDE w:val="0"/>
        <w:autoSpaceDN w:val="0"/>
        <w:spacing w:after="0" w:line="360" w:lineRule="auto"/>
        <w:ind w:left="0" w:right="920" w:firstLine="0"/>
        <w:rPr>
          <w:rFonts w:ascii="Times New Roman" w:eastAsia="Times New Roman" w:hAnsi="Times New Roman" w:cs="Times New Roman"/>
          <w:color w:val="auto"/>
          <w:szCs w:val="24"/>
          <w:lang w:val="es-ES"/>
        </w:rPr>
      </w:pPr>
      <w:r>
        <w:rPr>
          <w:rFonts w:ascii="Times New Roman" w:eastAsia="Times New Roman" w:hAnsi="Times New Roman" w:cs="Times New Roman"/>
          <w:color w:val="auto"/>
          <w:szCs w:val="24"/>
          <w:lang w:val="es-ES"/>
        </w:rPr>
        <w:t>En el primer acápite</w:t>
      </w:r>
      <w:r w:rsidR="007246B3" w:rsidRPr="007246B3">
        <w:rPr>
          <w:rFonts w:ascii="Times New Roman" w:eastAsia="Times New Roman" w:hAnsi="Times New Roman" w:cs="Times New Roman"/>
          <w:color w:val="auto"/>
          <w:szCs w:val="24"/>
          <w:lang w:val="es-ES"/>
        </w:rPr>
        <w:t xml:space="preserve"> se examina el marco teórico de objetivos de inflación. Para ello, el</w:t>
      </w:r>
      <w:r w:rsidR="007246B3" w:rsidRPr="007246B3">
        <w:rPr>
          <w:rFonts w:ascii="Times New Roman" w:eastAsia="Times New Roman" w:hAnsi="Times New Roman" w:cs="Times New Roman"/>
          <w:color w:val="auto"/>
          <w:spacing w:val="-57"/>
          <w:szCs w:val="24"/>
          <w:lang w:val="es-ES"/>
        </w:rPr>
        <w:t xml:space="preserve"> </w:t>
      </w:r>
      <w:r w:rsidR="007246B3" w:rsidRPr="007246B3">
        <w:rPr>
          <w:rFonts w:ascii="Times New Roman" w:eastAsia="Times New Roman" w:hAnsi="Times New Roman" w:cs="Times New Roman"/>
          <w:color w:val="auto"/>
          <w:szCs w:val="24"/>
          <w:lang w:val="es-ES"/>
        </w:rPr>
        <w:t>capítulo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se subdivide en tres apartados importantes.</w:t>
      </w:r>
    </w:p>
    <w:p w14:paraId="29AB7A45" w14:textId="0FD2EE56" w:rsidR="005B60B5" w:rsidRDefault="007246B3" w:rsidP="005B60B5">
      <w:pPr>
        <w:widowControl w:val="0"/>
        <w:autoSpaceDE w:val="0"/>
        <w:autoSpaceDN w:val="0"/>
        <w:spacing w:after="0" w:line="360" w:lineRule="auto"/>
        <w:ind w:left="0" w:right="914"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auto"/>
          <w:szCs w:val="24"/>
          <w:lang w:val="es-ES"/>
        </w:rPr>
        <w:t xml:space="preserve">El primero es el modelo teórico </w:t>
      </w:r>
      <w:r w:rsidRPr="007246B3">
        <w:rPr>
          <w:rFonts w:ascii="Times New Roman" w:eastAsia="Times New Roman" w:hAnsi="Times New Roman" w:cs="Times New Roman"/>
          <w:color w:val="1F2023"/>
          <w:szCs w:val="24"/>
          <w:lang w:val="es-ES"/>
        </w:rPr>
        <w:t>de objetivos de inflación, sus fundamentos teóricos y las</w:t>
      </w:r>
      <w:r w:rsidRPr="007246B3">
        <w:rPr>
          <w:rFonts w:ascii="Times New Roman" w:eastAsia="Times New Roman" w:hAnsi="Times New Roman" w:cs="Times New Roman"/>
          <w:color w:val="1F2023"/>
          <w:spacing w:val="-57"/>
          <w:szCs w:val="24"/>
          <w:lang w:val="es-ES"/>
        </w:rPr>
        <w:t xml:space="preserve"> </w:t>
      </w:r>
      <w:r w:rsidRPr="007246B3">
        <w:rPr>
          <w:rFonts w:ascii="Times New Roman" w:eastAsia="Times New Roman" w:hAnsi="Times New Roman" w:cs="Times New Roman"/>
          <w:color w:val="1F2023"/>
          <w:szCs w:val="24"/>
          <w:lang w:val="es-ES"/>
        </w:rPr>
        <w:t>condiciones iniciales del mismo, en el segundo apartado se analizan y describen las</w:t>
      </w:r>
      <w:r w:rsidRPr="007246B3">
        <w:rPr>
          <w:rFonts w:ascii="Times New Roman" w:eastAsia="Times New Roman" w:hAnsi="Times New Roman" w:cs="Times New Roman"/>
          <w:color w:val="1F2023"/>
          <w:spacing w:val="1"/>
          <w:szCs w:val="24"/>
          <w:lang w:val="es-ES"/>
        </w:rPr>
        <w:t xml:space="preserve"> </w:t>
      </w:r>
      <w:r w:rsidRPr="007246B3">
        <w:rPr>
          <w:rFonts w:ascii="Times New Roman" w:eastAsia="Times New Roman" w:hAnsi="Times New Roman" w:cs="Times New Roman"/>
          <w:color w:val="1F2023"/>
          <w:szCs w:val="24"/>
          <w:lang w:val="es-ES"/>
        </w:rPr>
        <w:t>limitaciones y ambigüedades teóricas del modelo de objetivos de inflación y en el tercer</w:t>
      </w:r>
      <w:r w:rsidRPr="007246B3">
        <w:rPr>
          <w:rFonts w:ascii="Times New Roman" w:eastAsia="Times New Roman" w:hAnsi="Times New Roman" w:cs="Times New Roman"/>
          <w:color w:val="1F2023"/>
          <w:spacing w:val="-57"/>
          <w:szCs w:val="24"/>
          <w:lang w:val="es-ES"/>
        </w:rPr>
        <w:t xml:space="preserve"> </w:t>
      </w:r>
      <w:r w:rsidRPr="007246B3">
        <w:rPr>
          <w:rFonts w:ascii="Times New Roman" w:eastAsia="Times New Roman" w:hAnsi="Times New Roman" w:cs="Times New Roman"/>
          <w:color w:val="1F2023"/>
          <w:szCs w:val="24"/>
          <w:lang w:val="es-ES"/>
        </w:rPr>
        <w:t>apartado se analizan las inconsistencias prácticas de aplicar el modelo de objetivos de</w:t>
      </w:r>
      <w:r w:rsidRPr="007246B3">
        <w:rPr>
          <w:rFonts w:ascii="Times New Roman" w:eastAsia="Times New Roman" w:hAnsi="Times New Roman" w:cs="Times New Roman"/>
          <w:color w:val="1F2023"/>
          <w:spacing w:val="1"/>
          <w:szCs w:val="24"/>
          <w:lang w:val="es-ES"/>
        </w:rPr>
        <w:t xml:space="preserve"> </w:t>
      </w:r>
      <w:r w:rsidRPr="007246B3">
        <w:rPr>
          <w:rFonts w:ascii="Times New Roman" w:eastAsia="Times New Roman" w:hAnsi="Times New Roman" w:cs="Times New Roman"/>
          <w:color w:val="1F2023"/>
          <w:szCs w:val="24"/>
          <w:lang w:val="es-ES"/>
        </w:rPr>
        <w:t>inflación en economías</w:t>
      </w:r>
      <w:r w:rsidRPr="007246B3">
        <w:rPr>
          <w:rFonts w:ascii="Times New Roman" w:eastAsia="Times New Roman" w:hAnsi="Times New Roman" w:cs="Times New Roman"/>
          <w:color w:val="1F2023"/>
          <w:spacing w:val="1"/>
          <w:szCs w:val="24"/>
          <w:lang w:val="es-ES"/>
        </w:rPr>
        <w:t xml:space="preserve"> </w:t>
      </w:r>
      <w:r w:rsidRPr="007246B3">
        <w:rPr>
          <w:rFonts w:ascii="Times New Roman" w:eastAsia="Times New Roman" w:hAnsi="Times New Roman" w:cs="Times New Roman"/>
          <w:color w:val="1F2023"/>
          <w:szCs w:val="24"/>
          <w:lang w:val="es-ES"/>
        </w:rPr>
        <w:t>emergentes</w:t>
      </w:r>
      <w:r w:rsidRPr="007246B3">
        <w:rPr>
          <w:rFonts w:ascii="Times New Roman" w:eastAsia="Times New Roman" w:hAnsi="Times New Roman" w:cs="Times New Roman"/>
          <w:color w:val="auto"/>
          <w:szCs w:val="24"/>
          <w:lang w:val="es-ES"/>
        </w:rPr>
        <w:t>.</w:t>
      </w:r>
      <w:r w:rsidRPr="007246B3">
        <w:rPr>
          <w:rFonts w:ascii="Times New Roman" w:eastAsia="Times New Roman" w:hAnsi="Times New Roman" w:cs="Times New Roman"/>
          <w:color w:val="auto"/>
          <w:spacing w:val="-58"/>
          <w:szCs w:val="24"/>
          <w:lang w:val="es-ES"/>
        </w:rPr>
        <w:t xml:space="preserve"> </w:t>
      </w:r>
    </w:p>
    <w:p w14:paraId="56DC73BC" w14:textId="07C01412" w:rsidR="007246B3" w:rsidRPr="007246B3" w:rsidRDefault="005B60B5" w:rsidP="005B60B5">
      <w:pPr>
        <w:widowControl w:val="0"/>
        <w:autoSpaceDE w:val="0"/>
        <w:autoSpaceDN w:val="0"/>
        <w:spacing w:after="0" w:line="360" w:lineRule="auto"/>
        <w:ind w:left="0" w:right="914" w:firstLine="0"/>
        <w:rPr>
          <w:rFonts w:ascii="Times New Roman" w:eastAsia="Times New Roman" w:hAnsi="Times New Roman" w:cs="Times New Roman"/>
          <w:color w:val="auto"/>
          <w:szCs w:val="24"/>
          <w:lang w:val="es-ES"/>
        </w:rPr>
      </w:pPr>
      <w:r w:rsidRPr="007246B3">
        <w:rPr>
          <w:rFonts w:ascii="Times New Roman" w:eastAsia="Times New Roman" w:hAnsi="Times New Roman" w:cs="Times New Roman"/>
          <w:color w:val="1F2023"/>
          <w:szCs w:val="24"/>
          <w:lang w:val="es-ES"/>
        </w:rPr>
        <w:t xml:space="preserve">En el segundo </w:t>
      </w:r>
      <w:r w:rsidR="00880570">
        <w:rPr>
          <w:rFonts w:ascii="Times New Roman" w:eastAsia="Times New Roman" w:hAnsi="Times New Roman" w:cs="Times New Roman"/>
          <w:color w:val="auto"/>
          <w:szCs w:val="24"/>
          <w:lang w:val="es-ES"/>
        </w:rPr>
        <w:t>acápite</w:t>
      </w:r>
      <w:r w:rsidRPr="007246B3">
        <w:rPr>
          <w:rFonts w:ascii="Times New Roman" w:eastAsia="Times New Roman" w:hAnsi="Times New Roman" w:cs="Times New Roman"/>
          <w:color w:val="1F2023"/>
          <w:szCs w:val="24"/>
          <w:lang w:val="es-ES"/>
        </w:rPr>
        <w:t xml:space="preserve"> el objetivo es exponer la adopción del modelo de objetivos de</w:t>
      </w:r>
      <w:r w:rsidRPr="007246B3">
        <w:rPr>
          <w:rFonts w:ascii="Times New Roman" w:eastAsia="Times New Roman" w:hAnsi="Times New Roman" w:cs="Times New Roman"/>
          <w:color w:val="1F2023"/>
          <w:spacing w:val="1"/>
          <w:szCs w:val="24"/>
          <w:lang w:val="es-ES"/>
        </w:rPr>
        <w:t xml:space="preserve"> </w:t>
      </w:r>
      <w:r w:rsidRPr="007246B3">
        <w:rPr>
          <w:rFonts w:ascii="Times New Roman" w:eastAsia="Times New Roman" w:hAnsi="Times New Roman" w:cs="Times New Roman"/>
          <w:color w:val="1F2023"/>
          <w:szCs w:val="24"/>
          <w:lang w:val="es-ES"/>
        </w:rPr>
        <w:t xml:space="preserve">inflación en México y Brasil. En un primer apartado </w:t>
      </w:r>
      <w:r w:rsidRPr="007246B3">
        <w:rPr>
          <w:rFonts w:ascii="Times New Roman" w:eastAsia="Times New Roman" w:hAnsi="Times New Roman" w:cs="Times New Roman"/>
          <w:color w:val="auto"/>
          <w:szCs w:val="24"/>
          <w:lang w:val="es-ES"/>
        </w:rPr>
        <w:t>se expone la política monetaria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México y sus metas a través del tiempo y posteriormente la adopción el esquema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objetivos</w:t>
      </w:r>
      <w:r w:rsidRPr="007246B3">
        <w:rPr>
          <w:rFonts w:ascii="Times New Roman" w:eastAsia="Times New Roman" w:hAnsi="Times New Roman" w:cs="Times New Roman"/>
          <w:color w:val="auto"/>
          <w:spacing w:val="-5"/>
          <w:szCs w:val="24"/>
          <w:lang w:val="es-ES"/>
        </w:rPr>
        <w:t xml:space="preserve"> </w:t>
      </w:r>
      <w:r w:rsidRPr="007246B3">
        <w:rPr>
          <w:rFonts w:ascii="Times New Roman" w:eastAsia="Times New Roman" w:hAnsi="Times New Roman" w:cs="Times New Roman"/>
          <w:color w:val="auto"/>
          <w:szCs w:val="24"/>
          <w:lang w:val="es-ES"/>
        </w:rPr>
        <w:t>de</w:t>
      </w:r>
      <w:r w:rsidRPr="007246B3">
        <w:rPr>
          <w:rFonts w:ascii="Times New Roman" w:eastAsia="Times New Roman" w:hAnsi="Times New Roman" w:cs="Times New Roman"/>
          <w:color w:val="auto"/>
          <w:spacing w:val="-6"/>
          <w:szCs w:val="24"/>
          <w:lang w:val="es-ES"/>
        </w:rPr>
        <w:t xml:space="preserve"> </w:t>
      </w:r>
      <w:r w:rsidRPr="007246B3">
        <w:rPr>
          <w:rFonts w:ascii="Times New Roman" w:eastAsia="Times New Roman" w:hAnsi="Times New Roman" w:cs="Times New Roman"/>
          <w:color w:val="auto"/>
          <w:szCs w:val="24"/>
          <w:lang w:val="es-ES"/>
        </w:rPr>
        <w:t>inflación.</w:t>
      </w:r>
      <w:r w:rsidRPr="007246B3">
        <w:rPr>
          <w:rFonts w:ascii="Times New Roman" w:eastAsia="Times New Roman" w:hAnsi="Times New Roman" w:cs="Times New Roman"/>
          <w:color w:val="auto"/>
          <w:spacing w:val="-6"/>
          <w:szCs w:val="24"/>
          <w:lang w:val="es-ES"/>
        </w:rPr>
        <w:t xml:space="preserve"> </w:t>
      </w:r>
    </w:p>
    <w:p w14:paraId="145CD9F8" w14:textId="33139D47" w:rsidR="005B60B5" w:rsidRDefault="00880570" w:rsidP="005B60B5">
      <w:pPr>
        <w:spacing w:after="0" w:line="360" w:lineRule="auto"/>
        <w:ind w:left="0" w:right="533" w:firstLine="0"/>
        <w:rPr>
          <w:rFonts w:ascii="Times New Roman" w:eastAsia="Times New Roman" w:hAnsi="Times New Roman" w:cs="Times New Roman"/>
          <w:color w:val="auto"/>
          <w:szCs w:val="24"/>
          <w:lang w:val="es-ES"/>
        </w:rPr>
      </w:pPr>
      <w:r>
        <w:rPr>
          <w:rFonts w:ascii="Times New Roman" w:eastAsia="Times New Roman" w:hAnsi="Times New Roman" w:cs="Times New Roman"/>
          <w:color w:val="auto"/>
          <w:szCs w:val="24"/>
          <w:lang w:val="es-ES"/>
        </w:rPr>
        <w:t xml:space="preserve">En el tercer </w:t>
      </w:r>
      <w:r>
        <w:rPr>
          <w:rFonts w:ascii="Times New Roman" w:eastAsia="Times New Roman" w:hAnsi="Times New Roman" w:cs="Times New Roman"/>
          <w:color w:val="auto"/>
          <w:szCs w:val="24"/>
          <w:lang w:val="es-ES"/>
        </w:rPr>
        <w:t>acápite</w:t>
      </w:r>
      <w:r w:rsidR="007246B3" w:rsidRPr="007246B3">
        <w:rPr>
          <w:rFonts w:ascii="Times New Roman" w:eastAsia="Times New Roman" w:hAnsi="Times New Roman" w:cs="Times New Roman"/>
          <w:color w:val="auto"/>
          <w:szCs w:val="24"/>
          <w:lang w:val="es-ES"/>
        </w:rPr>
        <w:t>, se realiza el análisis econométrico para probar la hipótesis de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investigación</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y</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posteriormente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mostrar</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los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resultados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empíricos,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se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desarrollan</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tres</w:t>
      </w:r>
      <w:r w:rsidR="007246B3" w:rsidRPr="007246B3">
        <w:rPr>
          <w:rFonts w:ascii="Times New Roman" w:eastAsia="Times New Roman" w:hAnsi="Times New Roman" w:cs="Times New Roman"/>
          <w:color w:val="auto"/>
          <w:spacing w:val="-57"/>
          <w:szCs w:val="24"/>
          <w:lang w:val="es-ES"/>
        </w:rPr>
        <w:t xml:space="preserve"> </w:t>
      </w:r>
      <w:r w:rsidR="007246B3" w:rsidRPr="007246B3">
        <w:rPr>
          <w:rFonts w:ascii="Times New Roman" w:eastAsia="Times New Roman" w:hAnsi="Times New Roman" w:cs="Times New Roman"/>
          <w:color w:val="auto"/>
          <w:szCs w:val="24"/>
          <w:lang w:val="es-ES"/>
        </w:rPr>
        <w:t>familias</w:t>
      </w:r>
      <w:r w:rsidR="007246B3" w:rsidRPr="007246B3">
        <w:rPr>
          <w:rFonts w:ascii="Times New Roman" w:eastAsia="Times New Roman" w:hAnsi="Times New Roman" w:cs="Times New Roman"/>
          <w:color w:val="auto"/>
          <w:spacing w:val="-8"/>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10"/>
          <w:szCs w:val="24"/>
          <w:lang w:val="es-ES"/>
        </w:rPr>
        <w:t xml:space="preserve"> </w:t>
      </w:r>
      <w:r w:rsidR="007246B3" w:rsidRPr="007246B3">
        <w:rPr>
          <w:rFonts w:ascii="Times New Roman" w:eastAsia="Times New Roman" w:hAnsi="Times New Roman" w:cs="Times New Roman"/>
          <w:color w:val="auto"/>
          <w:szCs w:val="24"/>
          <w:lang w:val="es-ES"/>
        </w:rPr>
        <w:t>modelos</w:t>
      </w:r>
      <w:r w:rsidR="007246B3" w:rsidRPr="007246B3">
        <w:rPr>
          <w:rFonts w:ascii="Times New Roman" w:eastAsia="Times New Roman" w:hAnsi="Times New Roman" w:cs="Times New Roman"/>
          <w:color w:val="auto"/>
          <w:spacing w:val="-7"/>
          <w:szCs w:val="24"/>
          <w:lang w:val="es-ES"/>
        </w:rPr>
        <w:t xml:space="preserve"> </w:t>
      </w:r>
      <w:r w:rsidR="007246B3" w:rsidRPr="007246B3">
        <w:rPr>
          <w:rFonts w:ascii="Times New Roman" w:eastAsia="Times New Roman" w:hAnsi="Times New Roman" w:cs="Times New Roman"/>
          <w:color w:val="auto"/>
          <w:szCs w:val="24"/>
          <w:lang w:val="es-ES"/>
        </w:rPr>
        <w:t>econométricos.</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La</w:t>
      </w:r>
      <w:r w:rsidR="007246B3" w:rsidRPr="007246B3">
        <w:rPr>
          <w:rFonts w:ascii="Times New Roman" w:eastAsia="Times New Roman" w:hAnsi="Times New Roman" w:cs="Times New Roman"/>
          <w:color w:val="auto"/>
          <w:spacing w:val="-10"/>
          <w:szCs w:val="24"/>
          <w:lang w:val="es-ES"/>
        </w:rPr>
        <w:t xml:space="preserve"> </w:t>
      </w:r>
      <w:r w:rsidR="007246B3" w:rsidRPr="007246B3">
        <w:rPr>
          <w:rFonts w:ascii="Times New Roman" w:eastAsia="Times New Roman" w:hAnsi="Times New Roman" w:cs="Times New Roman"/>
          <w:color w:val="auto"/>
          <w:szCs w:val="24"/>
          <w:lang w:val="es-ES"/>
        </w:rPr>
        <w:t>primera</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familia</w:t>
      </w:r>
      <w:r w:rsidR="007246B3" w:rsidRPr="007246B3">
        <w:rPr>
          <w:rFonts w:ascii="Times New Roman" w:eastAsia="Times New Roman" w:hAnsi="Times New Roman" w:cs="Times New Roman"/>
          <w:color w:val="auto"/>
          <w:spacing w:val="-10"/>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10"/>
          <w:szCs w:val="24"/>
          <w:lang w:val="es-ES"/>
        </w:rPr>
        <w:t xml:space="preserve"> </w:t>
      </w:r>
      <w:r w:rsidR="007246B3" w:rsidRPr="007246B3">
        <w:rPr>
          <w:rFonts w:ascii="Times New Roman" w:eastAsia="Times New Roman" w:hAnsi="Times New Roman" w:cs="Times New Roman"/>
          <w:color w:val="auto"/>
          <w:szCs w:val="24"/>
          <w:lang w:val="es-ES"/>
        </w:rPr>
        <w:t>modelos</w:t>
      </w:r>
      <w:r w:rsidR="007246B3" w:rsidRPr="007246B3">
        <w:rPr>
          <w:rFonts w:ascii="Times New Roman" w:eastAsia="Times New Roman" w:hAnsi="Times New Roman" w:cs="Times New Roman"/>
          <w:color w:val="auto"/>
          <w:spacing w:val="-7"/>
          <w:szCs w:val="24"/>
          <w:lang w:val="es-ES"/>
        </w:rPr>
        <w:t xml:space="preserve"> </w:t>
      </w:r>
      <w:r w:rsidR="007246B3" w:rsidRPr="007246B3">
        <w:rPr>
          <w:rFonts w:ascii="Times New Roman" w:eastAsia="Times New Roman" w:hAnsi="Times New Roman" w:cs="Times New Roman"/>
          <w:color w:val="auto"/>
          <w:szCs w:val="24"/>
          <w:lang w:val="es-ES"/>
        </w:rPr>
        <w:t>son</w:t>
      </w:r>
      <w:r w:rsidR="007246B3" w:rsidRPr="007246B3">
        <w:rPr>
          <w:rFonts w:ascii="Times New Roman" w:eastAsia="Times New Roman" w:hAnsi="Times New Roman" w:cs="Times New Roman"/>
          <w:color w:val="auto"/>
          <w:spacing w:val="-11"/>
          <w:szCs w:val="24"/>
          <w:lang w:val="es-ES"/>
        </w:rPr>
        <w:t xml:space="preserve"> </w:t>
      </w:r>
      <w:r w:rsidR="007246B3" w:rsidRPr="007246B3">
        <w:rPr>
          <w:rFonts w:ascii="Times New Roman" w:eastAsia="Times New Roman" w:hAnsi="Times New Roman" w:cs="Times New Roman"/>
          <w:color w:val="auto"/>
          <w:szCs w:val="24"/>
          <w:lang w:val="es-ES"/>
        </w:rPr>
        <w:t>los</w:t>
      </w:r>
      <w:r w:rsidR="007246B3" w:rsidRPr="007246B3">
        <w:rPr>
          <w:rFonts w:ascii="Times New Roman" w:eastAsia="Times New Roman" w:hAnsi="Times New Roman" w:cs="Times New Roman"/>
          <w:color w:val="auto"/>
          <w:spacing w:val="-7"/>
          <w:szCs w:val="24"/>
          <w:lang w:val="es-ES"/>
        </w:rPr>
        <w:t xml:space="preserve"> </w:t>
      </w:r>
      <w:r w:rsidR="007246B3" w:rsidRPr="007246B3">
        <w:rPr>
          <w:rFonts w:ascii="Times New Roman" w:eastAsia="Times New Roman" w:hAnsi="Times New Roman" w:cs="Times New Roman"/>
          <w:i/>
          <w:color w:val="auto"/>
          <w:szCs w:val="24"/>
          <w:lang w:val="es-ES"/>
        </w:rPr>
        <w:t>SARIMAX</w:t>
      </w:r>
      <w:r w:rsidR="007246B3" w:rsidRPr="007246B3">
        <w:rPr>
          <w:rFonts w:ascii="Times New Roman" w:eastAsia="Times New Roman" w:hAnsi="Times New Roman" w:cs="Times New Roman"/>
          <w:i/>
          <w:color w:val="auto"/>
          <w:spacing w:val="-8"/>
          <w:szCs w:val="24"/>
          <w:lang w:val="es-ES"/>
        </w:rPr>
        <w:t xml:space="preserve"> </w:t>
      </w:r>
      <w:r w:rsidR="007246B3" w:rsidRPr="007246B3">
        <w:rPr>
          <w:rFonts w:ascii="Times New Roman" w:eastAsia="Times New Roman" w:hAnsi="Times New Roman" w:cs="Times New Roman"/>
          <w:color w:val="auto"/>
          <w:szCs w:val="24"/>
          <w:lang w:val="es-ES"/>
        </w:rPr>
        <w:t>que</w:t>
      </w:r>
      <w:r w:rsidR="007246B3" w:rsidRPr="007246B3">
        <w:rPr>
          <w:rFonts w:ascii="Times New Roman" w:eastAsia="Times New Roman" w:hAnsi="Times New Roman" w:cs="Times New Roman"/>
          <w:color w:val="auto"/>
          <w:spacing w:val="-58"/>
          <w:szCs w:val="24"/>
          <w:lang w:val="es-ES"/>
        </w:rPr>
        <w:t xml:space="preserve"> </w:t>
      </w:r>
      <w:r w:rsidR="007246B3" w:rsidRPr="007246B3">
        <w:rPr>
          <w:rFonts w:ascii="Times New Roman" w:eastAsia="Times New Roman" w:hAnsi="Times New Roman" w:cs="Times New Roman"/>
          <w:color w:val="auto"/>
          <w:szCs w:val="24"/>
          <w:lang w:val="es-ES"/>
        </w:rPr>
        <w:t>básicamente muestra la relación en niveles de la primera diferencia en la parte regular y</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estacional</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del</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tipo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cambio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real</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de México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y</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Brasil</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en</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función</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componentes</w:t>
      </w:r>
      <w:r w:rsidR="007246B3" w:rsidRPr="007246B3">
        <w:rPr>
          <w:rFonts w:ascii="Times New Roman" w:eastAsia="Times New Roman" w:hAnsi="Times New Roman" w:cs="Times New Roman"/>
          <w:color w:val="auto"/>
          <w:spacing w:val="-57"/>
          <w:szCs w:val="24"/>
          <w:lang w:val="es-ES"/>
        </w:rPr>
        <w:t xml:space="preserve"> </w:t>
      </w:r>
      <w:r w:rsidR="00F731F8">
        <w:rPr>
          <w:rFonts w:ascii="Times New Roman" w:eastAsia="Times New Roman" w:hAnsi="Times New Roman" w:cs="Times New Roman"/>
          <w:color w:val="auto"/>
          <w:spacing w:val="-57"/>
          <w:szCs w:val="24"/>
          <w:lang w:val="es-ES"/>
        </w:rPr>
        <w:t xml:space="preserve">        </w:t>
      </w:r>
      <w:r w:rsidR="007246B3" w:rsidRPr="007246B3">
        <w:rPr>
          <w:rFonts w:ascii="Times New Roman" w:eastAsia="Times New Roman" w:hAnsi="Times New Roman" w:cs="Times New Roman"/>
          <w:color w:val="auto"/>
          <w:szCs w:val="24"/>
          <w:lang w:val="es-ES"/>
        </w:rPr>
        <w:t>autorregresivos y de medias móviles en la parte regular y estacional, a su vez se añade</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como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variables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explicativas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dummies</w:t>
      </w:r>
      <w:r w:rsidR="007246B3" w:rsidRPr="007246B3">
        <w:rPr>
          <w:rFonts w:ascii="Times New Roman" w:eastAsia="Times New Roman" w:hAnsi="Times New Roman" w:cs="Times New Roman"/>
          <w:i/>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de</w:t>
      </w:r>
      <w:r w:rsidR="007246B3" w:rsidRPr="007246B3">
        <w:rPr>
          <w:rFonts w:ascii="Times New Roman" w:eastAsia="Times New Roman" w:hAnsi="Times New Roman" w:cs="Times New Roman"/>
          <w:i/>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intervención</w:t>
      </w:r>
      <w:r w:rsidR="007246B3" w:rsidRPr="007246B3">
        <w:rPr>
          <w:rFonts w:ascii="Times New Roman" w:eastAsia="Times New Roman" w:hAnsi="Times New Roman" w:cs="Times New Roman"/>
          <w:i/>
          <w:color w:val="auto"/>
          <w:spacing w:val="1"/>
          <w:szCs w:val="24"/>
          <w:lang w:val="es-ES"/>
        </w:rPr>
        <w:t xml:space="preserve"> </w:t>
      </w:r>
      <w:r w:rsidR="007246B3" w:rsidRPr="007246B3">
        <w:rPr>
          <w:rFonts w:ascii="Times New Roman" w:eastAsia="Times New Roman" w:hAnsi="Times New Roman" w:cs="Times New Roman"/>
          <w:color w:val="auto"/>
          <w:szCs w:val="24"/>
          <w:lang w:val="es-ES"/>
        </w:rPr>
        <w:t>y</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dummies</w:t>
      </w:r>
      <w:r w:rsidR="007246B3" w:rsidRPr="007246B3">
        <w:rPr>
          <w:rFonts w:ascii="Times New Roman" w:eastAsia="Times New Roman" w:hAnsi="Times New Roman" w:cs="Times New Roman"/>
          <w:i/>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de</w:t>
      </w:r>
      <w:r w:rsidR="007246B3" w:rsidRPr="007246B3">
        <w:rPr>
          <w:rFonts w:ascii="Times New Roman" w:eastAsia="Times New Roman" w:hAnsi="Times New Roman" w:cs="Times New Roman"/>
          <w:i/>
          <w:color w:val="auto"/>
          <w:spacing w:val="1"/>
          <w:szCs w:val="24"/>
          <w:lang w:val="es-ES"/>
        </w:rPr>
        <w:t xml:space="preserve"> </w:t>
      </w:r>
      <w:r w:rsidR="007246B3" w:rsidRPr="007246B3">
        <w:rPr>
          <w:rFonts w:ascii="Times New Roman" w:eastAsia="Times New Roman" w:hAnsi="Times New Roman" w:cs="Times New Roman"/>
          <w:i/>
          <w:color w:val="auto"/>
          <w:szCs w:val="24"/>
          <w:lang w:val="es-ES"/>
        </w:rPr>
        <w:t>tendencia</w:t>
      </w:r>
      <w:r w:rsidR="007246B3" w:rsidRPr="007246B3">
        <w:rPr>
          <w:rFonts w:ascii="Times New Roman" w:eastAsia="Times New Roman" w:hAnsi="Times New Roman" w:cs="Times New Roman"/>
          <w:color w:val="auto"/>
          <w:szCs w:val="24"/>
          <w:lang w:val="es-ES"/>
        </w:rPr>
        <w:t>,</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las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primeras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para capturar choques exógenos a la economías de México y Brasil y las</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segundas</w:t>
      </w:r>
      <w:r w:rsidR="007246B3" w:rsidRPr="007246B3">
        <w:rPr>
          <w:rFonts w:ascii="Times New Roman" w:eastAsia="Times New Roman" w:hAnsi="Times New Roman" w:cs="Times New Roman"/>
          <w:color w:val="auto"/>
          <w:spacing w:val="-8"/>
          <w:szCs w:val="24"/>
          <w:lang w:val="es-ES"/>
        </w:rPr>
        <w:t xml:space="preserve"> </w:t>
      </w:r>
      <w:r w:rsidR="007246B3" w:rsidRPr="007246B3">
        <w:rPr>
          <w:rFonts w:ascii="Times New Roman" w:eastAsia="Times New Roman" w:hAnsi="Times New Roman" w:cs="Times New Roman"/>
          <w:color w:val="auto"/>
          <w:szCs w:val="24"/>
          <w:lang w:val="es-ES"/>
        </w:rPr>
        <w:t>para</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demostrar</w:t>
      </w:r>
      <w:r w:rsidR="007246B3" w:rsidRPr="007246B3">
        <w:rPr>
          <w:rFonts w:ascii="Times New Roman" w:eastAsia="Times New Roman" w:hAnsi="Times New Roman" w:cs="Times New Roman"/>
          <w:color w:val="auto"/>
          <w:spacing w:val="-5"/>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manera</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inicial</w:t>
      </w:r>
      <w:r w:rsidR="007246B3" w:rsidRPr="007246B3">
        <w:rPr>
          <w:rFonts w:ascii="Times New Roman" w:eastAsia="Times New Roman" w:hAnsi="Times New Roman" w:cs="Times New Roman"/>
          <w:color w:val="auto"/>
          <w:spacing w:val="-8"/>
          <w:szCs w:val="24"/>
          <w:lang w:val="es-ES"/>
        </w:rPr>
        <w:t xml:space="preserve"> </w:t>
      </w:r>
      <w:r w:rsidR="007246B3" w:rsidRPr="007246B3">
        <w:rPr>
          <w:rFonts w:ascii="Times New Roman" w:eastAsia="Times New Roman" w:hAnsi="Times New Roman" w:cs="Times New Roman"/>
          <w:color w:val="auto"/>
          <w:szCs w:val="24"/>
          <w:lang w:val="es-ES"/>
        </w:rPr>
        <w:t>que</w:t>
      </w:r>
      <w:r w:rsidR="007246B3" w:rsidRPr="007246B3">
        <w:rPr>
          <w:rFonts w:ascii="Times New Roman" w:eastAsia="Times New Roman" w:hAnsi="Times New Roman" w:cs="Times New Roman"/>
          <w:color w:val="auto"/>
          <w:spacing w:val="-6"/>
          <w:szCs w:val="24"/>
          <w:lang w:val="es-ES"/>
        </w:rPr>
        <w:t xml:space="preserve"> </w:t>
      </w:r>
      <w:r w:rsidR="007246B3" w:rsidRPr="007246B3">
        <w:rPr>
          <w:rFonts w:ascii="Times New Roman" w:eastAsia="Times New Roman" w:hAnsi="Times New Roman" w:cs="Times New Roman"/>
          <w:color w:val="auto"/>
          <w:szCs w:val="24"/>
          <w:lang w:val="es-ES"/>
        </w:rPr>
        <w:t>en</w:t>
      </w:r>
      <w:r w:rsidR="007246B3" w:rsidRPr="007246B3">
        <w:rPr>
          <w:rFonts w:ascii="Times New Roman" w:eastAsia="Times New Roman" w:hAnsi="Times New Roman" w:cs="Times New Roman"/>
          <w:color w:val="auto"/>
          <w:spacing w:val="-5"/>
          <w:szCs w:val="24"/>
          <w:lang w:val="es-ES"/>
        </w:rPr>
        <w:t xml:space="preserve"> </w:t>
      </w:r>
      <w:r w:rsidR="007246B3" w:rsidRPr="007246B3">
        <w:rPr>
          <w:rFonts w:ascii="Times New Roman" w:eastAsia="Times New Roman" w:hAnsi="Times New Roman" w:cs="Times New Roman"/>
          <w:color w:val="auto"/>
          <w:szCs w:val="24"/>
          <w:lang w:val="es-ES"/>
        </w:rPr>
        <w:t>el</w:t>
      </w:r>
      <w:r w:rsidR="007246B3" w:rsidRPr="007246B3">
        <w:rPr>
          <w:rFonts w:ascii="Times New Roman" w:eastAsia="Times New Roman" w:hAnsi="Times New Roman" w:cs="Times New Roman"/>
          <w:color w:val="auto"/>
          <w:spacing w:val="-8"/>
          <w:szCs w:val="24"/>
          <w:lang w:val="es-ES"/>
        </w:rPr>
        <w:t xml:space="preserve"> </w:t>
      </w:r>
      <w:r w:rsidR="007246B3" w:rsidRPr="007246B3">
        <w:rPr>
          <w:rFonts w:ascii="Times New Roman" w:eastAsia="Times New Roman" w:hAnsi="Times New Roman" w:cs="Times New Roman"/>
          <w:color w:val="auto"/>
          <w:szCs w:val="24"/>
          <w:lang w:val="es-ES"/>
        </w:rPr>
        <w:t>periodo</w:t>
      </w:r>
      <w:r w:rsidR="007246B3" w:rsidRPr="007246B3">
        <w:rPr>
          <w:rFonts w:ascii="Times New Roman" w:eastAsia="Times New Roman" w:hAnsi="Times New Roman" w:cs="Times New Roman"/>
          <w:color w:val="auto"/>
          <w:spacing w:val="-8"/>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6"/>
          <w:szCs w:val="24"/>
          <w:lang w:val="es-ES"/>
        </w:rPr>
        <w:t xml:space="preserve"> </w:t>
      </w:r>
      <w:r w:rsidR="007246B3" w:rsidRPr="007246B3">
        <w:rPr>
          <w:rFonts w:ascii="Times New Roman" w:eastAsia="Times New Roman" w:hAnsi="Times New Roman" w:cs="Times New Roman"/>
          <w:color w:val="auto"/>
          <w:szCs w:val="24"/>
          <w:lang w:val="es-ES"/>
        </w:rPr>
        <w:t>aplicación</w:t>
      </w:r>
      <w:r w:rsidR="007246B3" w:rsidRPr="007246B3">
        <w:rPr>
          <w:rFonts w:ascii="Times New Roman" w:eastAsia="Times New Roman" w:hAnsi="Times New Roman" w:cs="Times New Roman"/>
          <w:color w:val="auto"/>
          <w:spacing w:val="-6"/>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9"/>
          <w:szCs w:val="24"/>
          <w:lang w:val="es-ES"/>
        </w:rPr>
        <w:t xml:space="preserve"> </w:t>
      </w:r>
      <w:r w:rsidR="007246B3" w:rsidRPr="007246B3">
        <w:rPr>
          <w:rFonts w:ascii="Times New Roman" w:eastAsia="Times New Roman" w:hAnsi="Times New Roman" w:cs="Times New Roman"/>
          <w:color w:val="auto"/>
          <w:szCs w:val="24"/>
          <w:lang w:val="es-ES"/>
        </w:rPr>
        <w:t>objetivos</w:t>
      </w:r>
      <w:r w:rsidR="007246B3" w:rsidRPr="007246B3">
        <w:rPr>
          <w:rFonts w:ascii="Times New Roman" w:eastAsia="Times New Roman" w:hAnsi="Times New Roman" w:cs="Times New Roman"/>
          <w:color w:val="auto"/>
          <w:spacing w:val="-7"/>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58"/>
          <w:szCs w:val="24"/>
          <w:lang w:val="es-ES"/>
        </w:rPr>
        <w:t xml:space="preserve"> </w:t>
      </w:r>
      <w:r w:rsidR="007246B3" w:rsidRPr="007246B3">
        <w:rPr>
          <w:rFonts w:ascii="Times New Roman" w:eastAsia="Times New Roman" w:hAnsi="Times New Roman" w:cs="Times New Roman"/>
          <w:color w:val="auto"/>
          <w:szCs w:val="24"/>
          <w:lang w:val="es-ES"/>
        </w:rPr>
        <w:t>inflación en ambos países, la misma no ha podido evitar la mayor apreciación del tipo de</w:t>
      </w:r>
      <w:r w:rsidR="007246B3" w:rsidRPr="007246B3">
        <w:rPr>
          <w:rFonts w:ascii="Times New Roman" w:eastAsia="Times New Roman" w:hAnsi="Times New Roman" w:cs="Times New Roman"/>
          <w:color w:val="auto"/>
          <w:spacing w:val="-57"/>
          <w:szCs w:val="24"/>
          <w:lang w:val="es-ES"/>
        </w:rPr>
        <w:t xml:space="preserve"> </w:t>
      </w:r>
      <w:r w:rsidR="007246B3" w:rsidRPr="007246B3">
        <w:rPr>
          <w:rFonts w:ascii="Times New Roman" w:eastAsia="Times New Roman" w:hAnsi="Times New Roman" w:cs="Times New Roman"/>
          <w:color w:val="auto"/>
          <w:szCs w:val="24"/>
          <w:lang w:val="es-ES"/>
        </w:rPr>
        <w:t>cambio real. El objetivo de esta primera familia de modelos es verificar si a través del</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tiempo el tipo de cambio real ha sufrido cambios en su primer momento y/o segundo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momento</w:t>
      </w:r>
      <w:r w:rsidR="007246B3" w:rsidRPr="007246B3">
        <w:rPr>
          <w:rFonts w:ascii="Times New Roman" w:eastAsia="Times New Roman" w:hAnsi="Times New Roman" w:cs="Times New Roman"/>
          <w:color w:val="auto"/>
          <w:spacing w:val="-3"/>
          <w:szCs w:val="24"/>
          <w:lang w:val="es-ES"/>
        </w:rPr>
        <w:t xml:space="preserve"> </w:t>
      </w:r>
      <w:r w:rsidR="007246B3" w:rsidRPr="007246B3">
        <w:rPr>
          <w:rFonts w:ascii="Times New Roman" w:eastAsia="Times New Roman" w:hAnsi="Times New Roman" w:cs="Times New Roman"/>
          <w:color w:val="auto"/>
          <w:szCs w:val="24"/>
          <w:lang w:val="es-ES"/>
        </w:rPr>
        <w:t>estadístico</w:t>
      </w:r>
      <w:r w:rsidR="007246B3" w:rsidRPr="007246B3">
        <w:rPr>
          <w:rFonts w:ascii="Times New Roman" w:eastAsia="Times New Roman" w:hAnsi="Times New Roman" w:cs="Times New Roman"/>
          <w:color w:val="auto"/>
          <w:spacing w:val="-3"/>
          <w:szCs w:val="24"/>
          <w:lang w:val="es-ES"/>
        </w:rPr>
        <w:t xml:space="preserve"> </w:t>
      </w:r>
      <w:r w:rsidR="007246B3" w:rsidRPr="007246B3">
        <w:rPr>
          <w:rFonts w:ascii="Times New Roman" w:eastAsia="Times New Roman" w:hAnsi="Times New Roman" w:cs="Times New Roman"/>
          <w:color w:val="auto"/>
          <w:szCs w:val="24"/>
          <w:lang w:val="es-ES"/>
        </w:rPr>
        <w:t>bajo</w:t>
      </w:r>
      <w:r w:rsidR="007246B3" w:rsidRPr="007246B3">
        <w:rPr>
          <w:rFonts w:ascii="Times New Roman" w:eastAsia="Times New Roman" w:hAnsi="Times New Roman" w:cs="Times New Roman"/>
          <w:color w:val="auto"/>
          <w:spacing w:val="-1"/>
          <w:szCs w:val="24"/>
          <w:lang w:val="es-ES"/>
        </w:rPr>
        <w:t xml:space="preserve"> </w:t>
      </w:r>
      <w:r w:rsidR="007246B3" w:rsidRPr="007246B3">
        <w:rPr>
          <w:rFonts w:ascii="Times New Roman" w:eastAsia="Times New Roman" w:hAnsi="Times New Roman" w:cs="Times New Roman"/>
          <w:color w:val="auto"/>
          <w:szCs w:val="24"/>
          <w:lang w:val="es-ES"/>
        </w:rPr>
        <w:t>la aplicación del</w:t>
      </w:r>
      <w:r w:rsidR="007246B3" w:rsidRPr="007246B3">
        <w:rPr>
          <w:rFonts w:ascii="Times New Roman" w:eastAsia="Times New Roman" w:hAnsi="Times New Roman" w:cs="Times New Roman"/>
          <w:color w:val="auto"/>
          <w:spacing w:val="-3"/>
          <w:szCs w:val="24"/>
          <w:lang w:val="es-ES"/>
        </w:rPr>
        <w:t xml:space="preserve"> </w:t>
      </w:r>
      <w:r w:rsidR="007246B3" w:rsidRPr="007246B3">
        <w:rPr>
          <w:rFonts w:ascii="Times New Roman" w:eastAsia="Times New Roman" w:hAnsi="Times New Roman" w:cs="Times New Roman"/>
          <w:color w:val="auto"/>
          <w:szCs w:val="24"/>
          <w:lang w:val="es-ES"/>
        </w:rPr>
        <w:t>régimen</w:t>
      </w:r>
      <w:r w:rsidR="007246B3" w:rsidRPr="007246B3">
        <w:rPr>
          <w:rFonts w:ascii="Times New Roman" w:eastAsia="Times New Roman" w:hAnsi="Times New Roman" w:cs="Times New Roman"/>
          <w:color w:val="auto"/>
          <w:spacing w:val="-3"/>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4"/>
          <w:szCs w:val="24"/>
          <w:lang w:val="es-ES"/>
        </w:rPr>
        <w:t xml:space="preserve"> </w:t>
      </w:r>
      <w:r w:rsidR="007246B3" w:rsidRPr="007246B3">
        <w:rPr>
          <w:rFonts w:ascii="Times New Roman" w:eastAsia="Times New Roman" w:hAnsi="Times New Roman" w:cs="Times New Roman"/>
          <w:color w:val="auto"/>
          <w:szCs w:val="24"/>
          <w:lang w:val="es-ES"/>
        </w:rPr>
        <w:t>objetivos</w:t>
      </w:r>
      <w:r w:rsidR="007246B3" w:rsidRPr="007246B3">
        <w:rPr>
          <w:rFonts w:ascii="Times New Roman" w:eastAsia="Times New Roman" w:hAnsi="Times New Roman" w:cs="Times New Roman"/>
          <w:color w:val="auto"/>
          <w:spacing w:val="-4"/>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4"/>
          <w:szCs w:val="24"/>
          <w:lang w:val="es-ES"/>
        </w:rPr>
        <w:t xml:space="preserve"> </w:t>
      </w:r>
      <w:r w:rsidR="007246B3" w:rsidRPr="007246B3">
        <w:rPr>
          <w:rFonts w:ascii="Times New Roman" w:eastAsia="Times New Roman" w:hAnsi="Times New Roman" w:cs="Times New Roman"/>
          <w:color w:val="auto"/>
          <w:szCs w:val="24"/>
          <w:lang w:val="es-ES"/>
        </w:rPr>
        <w:t>inflación.</w:t>
      </w:r>
      <w:r w:rsidR="007246B3" w:rsidRPr="007246B3">
        <w:rPr>
          <w:rFonts w:ascii="Times New Roman" w:eastAsia="Times New Roman" w:hAnsi="Times New Roman" w:cs="Times New Roman"/>
          <w:color w:val="auto"/>
          <w:spacing w:val="2"/>
          <w:szCs w:val="24"/>
          <w:lang w:val="es-ES"/>
        </w:rPr>
        <w:t xml:space="preserve"> </w:t>
      </w:r>
      <w:r w:rsidR="007246B3" w:rsidRPr="007246B3">
        <w:rPr>
          <w:rFonts w:ascii="Times New Roman" w:eastAsia="Times New Roman" w:hAnsi="Times New Roman" w:cs="Times New Roman"/>
          <w:color w:val="auto"/>
          <w:szCs w:val="24"/>
          <w:lang w:val="es-ES"/>
        </w:rPr>
        <w:t>La</w:t>
      </w:r>
      <w:r w:rsidR="007246B3" w:rsidRPr="007246B3">
        <w:rPr>
          <w:rFonts w:ascii="Times New Roman" w:eastAsia="Times New Roman" w:hAnsi="Times New Roman" w:cs="Times New Roman"/>
          <w:color w:val="auto"/>
          <w:spacing w:val="-5"/>
          <w:szCs w:val="24"/>
          <w:lang w:val="es-ES"/>
        </w:rPr>
        <w:t xml:space="preserve"> </w:t>
      </w:r>
      <w:r w:rsidR="007246B3" w:rsidRPr="007246B3">
        <w:rPr>
          <w:rFonts w:ascii="Times New Roman" w:eastAsia="Times New Roman" w:hAnsi="Times New Roman" w:cs="Times New Roman"/>
          <w:color w:val="auto"/>
          <w:szCs w:val="24"/>
          <w:lang w:val="es-ES"/>
        </w:rPr>
        <w:t>segunda</w:t>
      </w:r>
      <w:r w:rsidR="007246B3" w:rsidRPr="007246B3">
        <w:rPr>
          <w:rFonts w:ascii="Times New Roman" w:eastAsia="Times New Roman" w:hAnsi="Times New Roman" w:cs="Times New Roman"/>
          <w:color w:val="auto"/>
          <w:spacing w:val="-57"/>
          <w:szCs w:val="24"/>
          <w:lang w:val="es-ES"/>
        </w:rPr>
        <w:t xml:space="preserve"> </w:t>
      </w:r>
      <w:r w:rsidR="007246B3" w:rsidRPr="007246B3">
        <w:rPr>
          <w:rFonts w:ascii="Times New Roman" w:eastAsia="Times New Roman" w:hAnsi="Times New Roman" w:cs="Times New Roman"/>
          <w:color w:val="auto"/>
          <w:szCs w:val="24"/>
          <w:lang w:val="es-ES"/>
        </w:rPr>
        <w:t>familia</w:t>
      </w:r>
      <w:r w:rsidR="007246B3" w:rsidRPr="007246B3">
        <w:rPr>
          <w:rFonts w:ascii="Times New Roman" w:eastAsia="Times New Roman" w:hAnsi="Times New Roman" w:cs="Times New Roman"/>
          <w:color w:val="auto"/>
          <w:spacing w:val="31"/>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31"/>
          <w:szCs w:val="24"/>
          <w:lang w:val="es-ES"/>
        </w:rPr>
        <w:t xml:space="preserve"> </w:t>
      </w:r>
      <w:r w:rsidR="007246B3" w:rsidRPr="007246B3">
        <w:rPr>
          <w:rFonts w:ascii="Times New Roman" w:eastAsia="Times New Roman" w:hAnsi="Times New Roman" w:cs="Times New Roman"/>
          <w:color w:val="auto"/>
          <w:szCs w:val="24"/>
          <w:lang w:val="es-ES"/>
        </w:rPr>
        <w:t>modelos</w:t>
      </w:r>
      <w:r w:rsidR="007246B3" w:rsidRPr="007246B3">
        <w:rPr>
          <w:rFonts w:ascii="Times New Roman" w:eastAsia="Times New Roman" w:hAnsi="Times New Roman" w:cs="Times New Roman"/>
          <w:color w:val="auto"/>
          <w:spacing w:val="34"/>
          <w:szCs w:val="24"/>
          <w:lang w:val="es-ES"/>
        </w:rPr>
        <w:t xml:space="preserve"> </w:t>
      </w:r>
      <w:r w:rsidR="007246B3" w:rsidRPr="007246B3">
        <w:rPr>
          <w:rFonts w:ascii="Times New Roman" w:eastAsia="Times New Roman" w:hAnsi="Times New Roman" w:cs="Times New Roman"/>
          <w:i/>
          <w:color w:val="auto"/>
          <w:szCs w:val="24"/>
          <w:lang w:val="es-ES"/>
        </w:rPr>
        <w:t>EGARCH</w:t>
      </w:r>
      <w:r w:rsidR="007246B3" w:rsidRPr="007246B3">
        <w:rPr>
          <w:rFonts w:ascii="Times New Roman" w:eastAsia="Times New Roman" w:hAnsi="Times New Roman" w:cs="Times New Roman"/>
          <w:i/>
          <w:color w:val="auto"/>
          <w:spacing w:val="33"/>
          <w:szCs w:val="24"/>
          <w:lang w:val="es-ES"/>
        </w:rPr>
        <w:t xml:space="preserve"> </w:t>
      </w:r>
      <w:r w:rsidR="007246B3" w:rsidRPr="007246B3">
        <w:rPr>
          <w:rFonts w:ascii="Times New Roman" w:eastAsia="Times New Roman" w:hAnsi="Times New Roman" w:cs="Times New Roman"/>
          <w:color w:val="auto"/>
          <w:szCs w:val="24"/>
          <w:lang w:val="es-ES"/>
        </w:rPr>
        <w:t>permite</w:t>
      </w:r>
      <w:r w:rsidR="007246B3" w:rsidRPr="007246B3">
        <w:rPr>
          <w:rFonts w:ascii="Times New Roman" w:eastAsia="Times New Roman" w:hAnsi="Times New Roman" w:cs="Times New Roman"/>
          <w:color w:val="auto"/>
          <w:spacing w:val="33"/>
          <w:szCs w:val="24"/>
          <w:lang w:val="es-ES"/>
        </w:rPr>
        <w:t xml:space="preserve"> </w:t>
      </w:r>
      <w:r w:rsidR="007246B3" w:rsidRPr="007246B3">
        <w:rPr>
          <w:rFonts w:ascii="Times New Roman" w:eastAsia="Times New Roman" w:hAnsi="Times New Roman" w:cs="Times New Roman"/>
          <w:color w:val="auto"/>
          <w:szCs w:val="24"/>
          <w:lang w:val="es-ES"/>
        </w:rPr>
        <w:t>verificar</w:t>
      </w:r>
      <w:r w:rsidR="007246B3" w:rsidRPr="007246B3">
        <w:rPr>
          <w:rFonts w:ascii="Times New Roman" w:eastAsia="Times New Roman" w:hAnsi="Times New Roman" w:cs="Times New Roman"/>
          <w:color w:val="auto"/>
          <w:spacing w:val="34"/>
          <w:szCs w:val="24"/>
          <w:lang w:val="es-ES"/>
        </w:rPr>
        <w:t xml:space="preserve"> </w:t>
      </w:r>
      <w:r w:rsidR="007246B3" w:rsidRPr="007246B3">
        <w:rPr>
          <w:rFonts w:ascii="Times New Roman" w:eastAsia="Times New Roman" w:hAnsi="Times New Roman" w:cs="Times New Roman"/>
          <w:color w:val="auto"/>
          <w:szCs w:val="24"/>
          <w:lang w:val="es-ES"/>
        </w:rPr>
        <w:t>de</w:t>
      </w:r>
      <w:r w:rsidR="007246B3" w:rsidRPr="007246B3">
        <w:rPr>
          <w:rFonts w:ascii="Times New Roman" w:eastAsia="Times New Roman" w:hAnsi="Times New Roman" w:cs="Times New Roman"/>
          <w:color w:val="auto"/>
          <w:spacing w:val="32"/>
          <w:szCs w:val="24"/>
          <w:lang w:val="es-ES"/>
        </w:rPr>
        <w:t xml:space="preserve"> </w:t>
      </w:r>
      <w:r w:rsidR="007246B3" w:rsidRPr="007246B3">
        <w:rPr>
          <w:rFonts w:ascii="Times New Roman" w:eastAsia="Times New Roman" w:hAnsi="Times New Roman" w:cs="Times New Roman"/>
          <w:color w:val="auto"/>
          <w:szCs w:val="24"/>
          <w:lang w:val="es-ES"/>
        </w:rPr>
        <w:t>manera</w:t>
      </w:r>
      <w:r w:rsidR="007246B3" w:rsidRPr="007246B3">
        <w:rPr>
          <w:rFonts w:ascii="Times New Roman" w:eastAsia="Times New Roman" w:hAnsi="Times New Roman" w:cs="Times New Roman"/>
          <w:color w:val="auto"/>
          <w:spacing w:val="31"/>
          <w:szCs w:val="24"/>
          <w:lang w:val="es-ES"/>
        </w:rPr>
        <w:t xml:space="preserve"> </w:t>
      </w:r>
      <w:r w:rsidR="007246B3" w:rsidRPr="007246B3">
        <w:rPr>
          <w:rFonts w:ascii="Times New Roman" w:eastAsia="Times New Roman" w:hAnsi="Times New Roman" w:cs="Times New Roman"/>
          <w:color w:val="auto"/>
          <w:szCs w:val="24"/>
          <w:lang w:val="es-ES"/>
        </w:rPr>
        <w:t>precisa</w:t>
      </w:r>
      <w:r w:rsidR="007246B3" w:rsidRPr="007246B3">
        <w:rPr>
          <w:rFonts w:ascii="Times New Roman" w:eastAsia="Times New Roman" w:hAnsi="Times New Roman" w:cs="Times New Roman"/>
          <w:color w:val="auto"/>
          <w:spacing w:val="33"/>
          <w:szCs w:val="24"/>
          <w:lang w:val="es-ES"/>
        </w:rPr>
        <w:t xml:space="preserve"> </w:t>
      </w:r>
      <w:r w:rsidR="007246B3" w:rsidRPr="007246B3">
        <w:rPr>
          <w:rFonts w:ascii="Times New Roman" w:eastAsia="Times New Roman" w:hAnsi="Times New Roman" w:cs="Times New Roman"/>
          <w:color w:val="auto"/>
          <w:szCs w:val="24"/>
          <w:lang w:val="es-ES"/>
        </w:rPr>
        <w:t>si</w:t>
      </w:r>
      <w:r w:rsidR="007246B3" w:rsidRPr="007246B3">
        <w:rPr>
          <w:rFonts w:ascii="Times New Roman" w:eastAsia="Times New Roman" w:hAnsi="Times New Roman" w:cs="Times New Roman"/>
          <w:color w:val="auto"/>
          <w:spacing w:val="33"/>
          <w:szCs w:val="24"/>
          <w:lang w:val="es-ES"/>
        </w:rPr>
        <w:t xml:space="preserve"> </w:t>
      </w:r>
      <w:r w:rsidR="007246B3" w:rsidRPr="007246B3">
        <w:rPr>
          <w:rFonts w:ascii="Times New Roman" w:eastAsia="Times New Roman" w:hAnsi="Times New Roman" w:cs="Times New Roman"/>
          <w:color w:val="auto"/>
          <w:szCs w:val="24"/>
          <w:lang w:val="es-ES"/>
        </w:rPr>
        <w:t>en</w:t>
      </w:r>
      <w:r w:rsidR="007246B3" w:rsidRPr="007246B3">
        <w:rPr>
          <w:rFonts w:ascii="Times New Roman" w:eastAsia="Times New Roman" w:hAnsi="Times New Roman" w:cs="Times New Roman"/>
          <w:color w:val="auto"/>
          <w:spacing w:val="35"/>
          <w:szCs w:val="24"/>
          <w:lang w:val="es-ES"/>
        </w:rPr>
        <w:t xml:space="preserve"> </w:t>
      </w:r>
      <w:r w:rsidR="007246B3" w:rsidRPr="007246B3">
        <w:rPr>
          <w:rFonts w:ascii="Times New Roman" w:eastAsia="Times New Roman" w:hAnsi="Times New Roman" w:cs="Times New Roman"/>
          <w:color w:val="auto"/>
          <w:szCs w:val="24"/>
          <w:lang w:val="es-ES"/>
        </w:rPr>
        <w:t>el</w:t>
      </w:r>
      <w:r w:rsidR="007246B3" w:rsidRPr="007246B3">
        <w:rPr>
          <w:rFonts w:ascii="Times New Roman" w:eastAsia="Times New Roman" w:hAnsi="Times New Roman" w:cs="Times New Roman"/>
          <w:color w:val="auto"/>
          <w:spacing w:val="32"/>
          <w:szCs w:val="24"/>
          <w:lang w:val="es-ES"/>
        </w:rPr>
        <w:t xml:space="preserve"> </w:t>
      </w:r>
      <w:r w:rsidR="007246B3" w:rsidRPr="007246B3">
        <w:rPr>
          <w:rFonts w:ascii="Times New Roman" w:eastAsia="Times New Roman" w:hAnsi="Times New Roman" w:cs="Times New Roman"/>
          <w:color w:val="auto"/>
          <w:szCs w:val="24"/>
          <w:lang w:val="es-ES"/>
        </w:rPr>
        <w:t>periodo</w:t>
      </w:r>
      <w:r w:rsidR="007246B3" w:rsidRPr="007246B3">
        <w:rPr>
          <w:rFonts w:ascii="Times New Roman" w:eastAsia="Times New Roman" w:hAnsi="Times New Roman" w:cs="Times New Roman"/>
          <w:color w:val="auto"/>
          <w:spacing w:val="32"/>
          <w:szCs w:val="24"/>
          <w:lang w:val="es-ES"/>
        </w:rPr>
        <w:t xml:space="preserve"> </w:t>
      </w:r>
      <w:r w:rsidR="007246B3" w:rsidRPr="007246B3">
        <w:rPr>
          <w:rFonts w:ascii="Times New Roman" w:eastAsia="Times New Roman" w:hAnsi="Times New Roman" w:cs="Times New Roman"/>
          <w:color w:val="auto"/>
          <w:szCs w:val="24"/>
          <w:lang w:val="es-ES"/>
        </w:rPr>
        <w:t>de</w:t>
      </w:r>
      <w:r w:rsidR="005B60B5" w:rsidRPr="005B60B5">
        <w:rPr>
          <w:rFonts w:ascii="Times New Roman" w:eastAsia="Times New Roman" w:hAnsi="Times New Roman" w:cs="Times New Roman"/>
          <w:color w:val="auto"/>
          <w:szCs w:val="24"/>
          <w:lang w:val="es-ES"/>
        </w:rPr>
        <w:t xml:space="preserve"> </w:t>
      </w:r>
      <w:r w:rsidR="005B60B5" w:rsidRPr="007246B3">
        <w:rPr>
          <w:rFonts w:ascii="Times New Roman" w:eastAsia="Times New Roman" w:hAnsi="Times New Roman" w:cs="Times New Roman"/>
          <w:color w:val="auto"/>
          <w:szCs w:val="24"/>
          <w:lang w:val="es-ES"/>
        </w:rPr>
        <w:t>objetivos</w:t>
      </w:r>
      <w:r w:rsidR="005B60B5" w:rsidRPr="007246B3">
        <w:rPr>
          <w:rFonts w:ascii="Times New Roman" w:eastAsia="Times New Roman" w:hAnsi="Times New Roman" w:cs="Times New Roman"/>
          <w:color w:val="auto"/>
          <w:spacing w:val="-7"/>
          <w:szCs w:val="24"/>
          <w:lang w:val="es-ES"/>
        </w:rPr>
        <w:t xml:space="preserve"> </w:t>
      </w:r>
      <w:r w:rsidR="005B60B5" w:rsidRPr="007246B3">
        <w:rPr>
          <w:rFonts w:ascii="Times New Roman" w:eastAsia="Times New Roman" w:hAnsi="Times New Roman" w:cs="Times New Roman"/>
          <w:color w:val="auto"/>
          <w:szCs w:val="24"/>
          <w:lang w:val="es-ES"/>
        </w:rPr>
        <w:t>de</w:t>
      </w:r>
      <w:r w:rsidR="005B60B5" w:rsidRPr="007246B3">
        <w:rPr>
          <w:rFonts w:ascii="Times New Roman" w:eastAsia="Times New Roman" w:hAnsi="Times New Roman" w:cs="Times New Roman"/>
          <w:color w:val="auto"/>
          <w:spacing w:val="-9"/>
          <w:szCs w:val="24"/>
          <w:lang w:val="es-ES"/>
        </w:rPr>
        <w:t xml:space="preserve"> </w:t>
      </w:r>
      <w:r w:rsidR="005B60B5" w:rsidRPr="007246B3">
        <w:rPr>
          <w:rFonts w:ascii="Times New Roman" w:eastAsia="Times New Roman" w:hAnsi="Times New Roman" w:cs="Times New Roman"/>
          <w:color w:val="auto"/>
          <w:szCs w:val="24"/>
          <w:lang w:val="es-ES"/>
        </w:rPr>
        <w:t>inflación,</w:t>
      </w:r>
      <w:r w:rsidR="005B60B5" w:rsidRPr="007246B3">
        <w:rPr>
          <w:rFonts w:ascii="Times New Roman" w:eastAsia="Times New Roman" w:hAnsi="Times New Roman" w:cs="Times New Roman"/>
          <w:color w:val="auto"/>
          <w:spacing w:val="-7"/>
          <w:szCs w:val="24"/>
          <w:lang w:val="es-ES"/>
        </w:rPr>
        <w:t xml:space="preserve"> </w:t>
      </w:r>
      <w:r w:rsidR="005B60B5" w:rsidRPr="007246B3">
        <w:rPr>
          <w:rFonts w:ascii="Times New Roman" w:eastAsia="Times New Roman" w:hAnsi="Times New Roman" w:cs="Times New Roman"/>
          <w:color w:val="auto"/>
          <w:szCs w:val="24"/>
          <w:lang w:val="es-ES"/>
        </w:rPr>
        <w:t>la</w:t>
      </w:r>
      <w:r w:rsidR="005B60B5" w:rsidRPr="007246B3">
        <w:rPr>
          <w:rFonts w:ascii="Times New Roman" w:eastAsia="Times New Roman" w:hAnsi="Times New Roman" w:cs="Times New Roman"/>
          <w:color w:val="auto"/>
          <w:spacing w:val="-6"/>
          <w:szCs w:val="24"/>
          <w:lang w:val="es-ES"/>
        </w:rPr>
        <w:t xml:space="preserve"> </w:t>
      </w:r>
      <w:r w:rsidR="005B60B5" w:rsidRPr="007246B3">
        <w:rPr>
          <w:rFonts w:ascii="Times New Roman" w:eastAsia="Times New Roman" w:hAnsi="Times New Roman" w:cs="Times New Roman"/>
          <w:color w:val="auto"/>
          <w:szCs w:val="24"/>
          <w:lang w:val="es-ES"/>
        </w:rPr>
        <w:t>misma</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se</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ha</w:t>
      </w:r>
      <w:r w:rsidR="005B60B5" w:rsidRPr="007246B3">
        <w:rPr>
          <w:rFonts w:ascii="Times New Roman" w:eastAsia="Times New Roman" w:hAnsi="Times New Roman" w:cs="Times New Roman"/>
          <w:color w:val="auto"/>
          <w:spacing w:val="-9"/>
          <w:szCs w:val="24"/>
          <w:lang w:val="es-ES"/>
        </w:rPr>
        <w:t xml:space="preserve"> </w:t>
      </w:r>
      <w:r w:rsidR="005B60B5" w:rsidRPr="007246B3">
        <w:rPr>
          <w:rFonts w:ascii="Times New Roman" w:eastAsia="Times New Roman" w:hAnsi="Times New Roman" w:cs="Times New Roman"/>
          <w:color w:val="auto"/>
          <w:szCs w:val="24"/>
          <w:lang w:val="es-ES"/>
        </w:rPr>
        <w:t>caracterizado</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por</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una</w:t>
      </w:r>
      <w:r w:rsidR="005B60B5" w:rsidRPr="007246B3">
        <w:rPr>
          <w:rFonts w:ascii="Times New Roman" w:eastAsia="Times New Roman" w:hAnsi="Times New Roman" w:cs="Times New Roman"/>
          <w:color w:val="auto"/>
          <w:spacing w:val="-9"/>
          <w:szCs w:val="24"/>
          <w:lang w:val="es-ES"/>
        </w:rPr>
        <w:t xml:space="preserve"> </w:t>
      </w:r>
      <w:r w:rsidR="005B60B5" w:rsidRPr="007246B3">
        <w:rPr>
          <w:rFonts w:ascii="Times New Roman" w:eastAsia="Times New Roman" w:hAnsi="Times New Roman" w:cs="Times New Roman"/>
          <w:color w:val="auto"/>
          <w:szCs w:val="24"/>
          <w:lang w:val="es-ES"/>
        </w:rPr>
        <w:t>mayor</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apreciación</w:t>
      </w:r>
      <w:r w:rsidR="005B60B5" w:rsidRPr="007246B3">
        <w:rPr>
          <w:rFonts w:ascii="Times New Roman" w:eastAsia="Times New Roman" w:hAnsi="Times New Roman" w:cs="Times New Roman"/>
          <w:color w:val="auto"/>
          <w:spacing w:val="-7"/>
          <w:szCs w:val="24"/>
          <w:lang w:val="es-ES"/>
        </w:rPr>
        <w:t xml:space="preserve"> </w:t>
      </w:r>
      <w:r w:rsidR="005B60B5" w:rsidRPr="007246B3">
        <w:rPr>
          <w:rFonts w:ascii="Times New Roman" w:eastAsia="Times New Roman" w:hAnsi="Times New Roman" w:cs="Times New Roman"/>
          <w:color w:val="auto"/>
          <w:szCs w:val="24"/>
          <w:lang w:val="es-ES"/>
        </w:rPr>
        <w:t>del</w:t>
      </w:r>
      <w:r w:rsidR="005B60B5" w:rsidRPr="007246B3">
        <w:rPr>
          <w:rFonts w:ascii="Times New Roman" w:eastAsia="Times New Roman" w:hAnsi="Times New Roman" w:cs="Times New Roman"/>
          <w:color w:val="auto"/>
          <w:spacing w:val="-7"/>
          <w:szCs w:val="24"/>
          <w:lang w:val="es-ES"/>
        </w:rPr>
        <w:t xml:space="preserve"> </w:t>
      </w:r>
      <w:r w:rsidR="005B60B5" w:rsidRPr="007246B3">
        <w:rPr>
          <w:rFonts w:ascii="Times New Roman" w:eastAsia="Times New Roman" w:hAnsi="Times New Roman" w:cs="Times New Roman"/>
          <w:color w:val="auto"/>
          <w:szCs w:val="24"/>
          <w:lang w:val="es-ES"/>
        </w:rPr>
        <w:t>tipo</w:t>
      </w:r>
      <w:r w:rsidR="005B60B5" w:rsidRPr="007246B3">
        <w:rPr>
          <w:rFonts w:ascii="Times New Roman" w:eastAsia="Times New Roman" w:hAnsi="Times New Roman" w:cs="Times New Roman"/>
          <w:color w:val="auto"/>
          <w:spacing w:val="-8"/>
          <w:szCs w:val="24"/>
          <w:lang w:val="es-ES"/>
        </w:rPr>
        <w:t xml:space="preserve"> </w:t>
      </w:r>
      <w:r w:rsidR="005B60B5" w:rsidRPr="007246B3">
        <w:rPr>
          <w:rFonts w:ascii="Times New Roman" w:eastAsia="Times New Roman" w:hAnsi="Times New Roman" w:cs="Times New Roman"/>
          <w:color w:val="auto"/>
          <w:szCs w:val="24"/>
          <w:lang w:val="es-ES"/>
        </w:rPr>
        <w:t>de</w:t>
      </w:r>
      <w:r w:rsidR="005B60B5" w:rsidRPr="007246B3">
        <w:rPr>
          <w:rFonts w:ascii="Times New Roman" w:eastAsia="Times New Roman" w:hAnsi="Times New Roman" w:cs="Times New Roman"/>
          <w:color w:val="auto"/>
          <w:spacing w:val="-57"/>
          <w:szCs w:val="24"/>
          <w:lang w:val="es-ES"/>
        </w:rPr>
        <w:t xml:space="preserve"> </w:t>
      </w:r>
      <w:r w:rsidR="005B60B5" w:rsidRPr="007246B3">
        <w:rPr>
          <w:rFonts w:ascii="Times New Roman" w:eastAsia="Times New Roman" w:hAnsi="Times New Roman" w:cs="Times New Roman"/>
          <w:color w:val="auto"/>
          <w:szCs w:val="24"/>
          <w:lang w:val="es-ES"/>
        </w:rPr>
        <w:t>cambio real y controlando la volatilidad de ésta, fruto de una mayor intervención de las</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autoridades monetarias en el mercado cambiario para el logro de la meta de inflación.</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Finalmente se aplica una tercera familia de modelos con cambios de régimen (</w:t>
      </w:r>
      <w:r w:rsidR="005B60B5" w:rsidRPr="007246B3">
        <w:rPr>
          <w:rFonts w:ascii="Times New Roman" w:eastAsia="Times New Roman" w:hAnsi="Times New Roman" w:cs="Times New Roman"/>
          <w:i/>
          <w:color w:val="auto"/>
          <w:szCs w:val="24"/>
          <w:lang w:val="es-ES"/>
        </w:rPr>
        <w:t>Markov</w:t>
      </w:r>
      <w:r w:rsidR="005B60B5" w:rsidRPr="007246B3">
        <w:rPr>
          <w:rFonts w:ascii="Times New Roman" w:eastAsia="Times New Roman" w:hAnsi="Times New Roman" w:cs="Times New Roman"/>
          <w:i/>
          <w:color w:val="auto"/>
          <w:spacing w:val="1"/>
          <w:szCs w:val="24"/>
          <w:lang w:val="es-ES"/>
        </w:rPr>
        <w:t xml:space="preserve"> </w:t>
      </w:r>
      <w:r w:rsidR="005B60B5" w:rsidRPr="007246B3">
        <w:rPr>
          <w:rFonts w:ascii="Times New Roman" w:eastAsia="Times New Roman" w:hAnsi="Times New Roman" w:cs="Times New Roman"/>
          <w:i/>
          <w:color w:val="auto"/>
          <w:spacing w:val="-1"/>
          <w:szCs w:val="24"/>
          <w:lang w:val="es-ES"/>
        </w:rPr>
        <w:t>Switching</w:t>
      </w:r>
      <w:r w:rsidR="005B60B5" w:rsidRPr="007246B3">
        <w:rPr>
          <w:rFonts w:ascii="Times New Roman" w:eastAsia="Times New Roman" w:hAnsi="Times New Roman" w:cs="Times New Roman"/>
          <w:i/>
          <w:color w:val="auto"/>
          <w:spacing w:val="-14"/>
          <w:szCs w:val="24"/>
          <w:lang w:val="es-ES"/>
        </w:rPr>
        <w:t xml:space="preserve"> </w:t>
      </w:r>
      <w:r w:rsidR="005B60B5" w:rsidRPr="007246B3">
        <w:rPr>
          <w:rFonts w:ascii="Times New Roman" w:eastAsia="Times New Roman" w:hAnsi="Times New Roman" w:cs="Times New Roman"/>
          <w:i/>
          <w:color w:val="auto"/>
          <w:szCs w:val="24"/>
          <w:lang w:val="es-ES"/>
        </w:rPr>
        <w:t>VAR</w:t>
      </w:r>
      <w:r w:rsidR="005B60B5" w:rsidRPr="007246B3">
        <w:rPr>
          <w:rFonts w:ascii="Times New Roman" w:eastAsia="Times New Roman" w:hAnsi="Times New Roman" w:cs="Times New Roman"/>
          <w:i/>
          <w:color w:val="auto"/>
          <w:spacing w:val="-16"/>
          <w:szCs w:val="24"/>
          <w:lang w:val="es-ES"/>
        </w:rPr>
        <w:t xml:space="preserve"> </w:t>
      </w:r>
      <w:r w:rsidR="005B60B5" w:rsidRPr="007246B3">
        <w:rPr>
          <w:rFonts w:ascii="Times New Roman" w:eastAsia="Times New Roman" w:hAnsi="Times New Roman" w:cs="Times New Roman"/>
          <w:i/>
          <w:color w:val="auto"/>
          <w:szCs w:val="24"/>
          <w:lang w:val="es-ES"/>
        </w:rPr>
        <w:t>estructural</w:t>
      </w:r>
      <w:r w:rsidR="005B60B5" w:rsidRPr="007246B3">
        <w:rPr>
          <w:rFonts w:ascii="Times New Roman" w:eastAsia="Times New Roman" w:hAnsi="Times New Roman" w:cs="Times New Roman"/>
          <w:i/>
          <w:color w:val="auto"/>
          <w:spacing w:val="-14"/>
          <w:szCs w:val="24"/>
          <w:lang w:val="es-ES"/>
        </w:rPr>
        <w:t xml:space="preserve"> </w:t>
      </w:r>
      <w:r w:rsidR="005B60B5" w:rsidRPr="007246B3">
        <w:rPr>
          <w:rFonts w:ascii="Times New Roman" w:eastAsia="Times New Roman" w:hAnsi="Times New Roman" w:cs="Times New Roman"/>
          <w:i/>
          <w:color w:val="auto"/>
          <w:szCs w:val="24"/>
          <w:lang w:val="es-ES"/>
        </w:rPr>
        <w:t>con</w:t>
      </w:r>
      <w:r w:rsidR="005B60B5" w:rsidRPr="007246B3">
        <w:rPr>
          <w:rFonts w:ascii="Times New Roman" w:eastAsia="Times New Roman" w:hAnsi="Times New Roman" w:cs="Times New Roman"/>
          <w:i/>
          <w:color w:val="auto"/>
          <w:spacing w:val="-14"/>
          <w:szCs w:val="24"/>
          <w:lang w:val="es-ES"/>
        </w:rPr>
        <w:t xml:space="preserve"> </w:t>
      </w:r>
      <w:r w:rsidR="005B60B5" w:rsidRPr="007246B3">
        <w:rPr>
          <w:rFonts w:ascii="Times New Roman" w:eastAsia="Times New Roman" w:hAnsi="Times New Roman" w:cs="Times New Roman"/>
          <w:i/>
          <w:color w:val="auto"/>
          <w:szCs w:val="24"/>
          <w:lang w:val="es-ES"/>
        </w:rPr>
        <w:t>dos</w:t>
      </w:r>
      <w:r w:rsidR="005B60B5" w:rsidRPr="007246B3">
        <w:rPr>
          <w:rFonts w:ascii="Times New Roman" w:eastAsia="Times New Roman" w:hAnsi="Times New Roman" w:cs="Times New Roman"/>
          <w:i/>
          <w:color w:val="auto"/>
          <w:spacing w:val="-12"/>
          <w:szCs w:val="24"/>
          <w:lang w:val="es-ES"/>
        </w:rPr>
        <w:t xml:space="preserve"> </w:t>
      </w:r>
      <w:r w:rsidR="005B60B5" w:rsidRPr="007246B3">
        <w:rPr>
          <w:rFonts w:ascii="Times New Roman" w:eastAsia="Times New Roman" w:hAnsi="Times New Roman" w:cs="Times New Roman"/>
          <w:i/>
          <w:color w:val="auto"/>
          <w:szCs w:val="24"/>
          <w:lang w:val="es-ES"/>
        </w:rPr>
        <w:t>estados</w:t>
      </w:r>
      <w:r w:rsidR="005B60B5" w:rsidRPr="007246B3">
        <w:rPr>
          <w:rFonts w:ascii="Times New Roman" w:eastAsia="Times New Roman" w:hAnsi="Times New Roman" w:cs="Times New Roman"/>
          <w:color w:val="auto"/>
          <w:szCs w:val="24"/>
          <w:lang w:val="es-ES"/>
        </w:rPr>
        <w:t>),</w:t>
      </w:r>
      <w:r w:rsidR="005B60B5" w:rsidRPr="007246B3">
        <w:rPr>
          <w:rFonts w:ascii="Times New Roman" w:eastAsia="Times New Roman" w:hAnsi="Times New Roman" w:cs="Times New Roman"/>
          <w:color w:val="auto"/>
          <w:spacing w:val="-16"/>
          <w:szCs w:val="24"/>
          <w:lang w:val="es-ES"/>
        </w:rPr>
        <w:t xml:space="preserve"> </w:t>
      </w:r>
      <w:r w:rsidR="005B60B5" w:rsidRPr="007246B3">
        <w:rPr>
          <w:rFonts w:ascii="Times New Roman" w:eastAsia="Times New Roman" w:hAnsi="Times New Roman" w:cs="Times New Roman"/>
          <w:color w:val="auto"/>
          <w:szCs w:val="24"/>
          <w:lang w:val="es-ES"/>
        </w:rPr>
        <w:t>que</w:t>
      </w:r>
      <w:r w:rsidR="005B60B5" w:rsidRPr="007246B3">
        <w:rPr>
          <w:rFonts w:ascii="Times New Roman" w:eastAsia="Times New Roman" w:hAnsi="Times New Roman" w:cs="Times New Roman"/>
          <w:color w:val="auto"/>
          <w:spacing w:val="-13"/>
          <w:szCs w:val="24"/>
          <w:lang w:val="es-ES"/>
        </w:rPr>
        <w:t xml:space="preserve"> </w:t>
      </w:r>
      <w:r w:rsidR="005B60B5" w:rsidRPr="007246B3">
        <w:rPr>
          <w:rFonts w:ascii="Times New Roman" w:eastAsia="Times New Roman" w:hAnsi="Times New Roman" w:cs="Times New Roman"/>
          <w:color w:val="auto"/>
          <w:szCs w:val="24"/>
          <w:lang w:val="es-ES"/>
        </w:rPr>
        <w:t>la</w:t>
      </w:r>
      <w:r w:rsidR="005B60B5" w:rsidRPr="007246B3">
        <w:rPr>
          <w:rFonts w:ascii="Times New Roman" w:eastAsia="Times New Roman" w:hAnsi="Times New Roman" w:cs="Times New Roman"/>
          <w:color w:val="auto"/>
          <w:spacing w:val="-15"/>
          <w:szCs w:val="24"/>
          <w:lang w:val="es-ES"/>
        </w:rPr>
        <w:t xml:space="preserve"> </w:t>
      </w:r>
      <w:r w:rsidR="005B60B5" w:rsidRPr="007246B3">
        <w:rPr>
          <w:rFonts w:ascii="Times New Roman" w:eastAsia="Times New Roman" w:hAnsi="Times New Roman" w:cs="Times New Roman"/>
          <w:color w:val="auto"/>
          <w:szCs w:val="24"/>
          <w:lang w:val="es-ES"/>
        </w:rPr>
        <w:t>misma</w:t>
      </w:r>
      <w:r w:rsidR="005B60B5" w:rsidRPr="007246B3">
        <w:rPr>
          <w:rFonts w:ascii="Times New Roman" w:eastAsia="Times New Roman" w:hAnsi="Times New Roman" w:cs="Times New Roman"/>
          <w:color w:val="auto"/>
          <w:spacing w:val="-15"/>
          <w:szCs w:val="24"/>
          <w:lang w:val="es-ES"/>
        </w:rPr>
        <w:t xml:space="preserve"> </w:t>
      </w:r>
      <w:r w:rsidR="005B60B5" w:rsidRPr="007246B3">
        <w:rPr>
          <w:rFonts w:ascii="Times New Roman" w:eastAsia="Times New Roman" w:hAnsi="Times New Roman" w:cs="Times New Roman"/>
          <w:color w:val="auto"/>
          <w:szCs w:val="24"/>
          <w:lang w:val="es-ES"/>
        </w:rPr>
        <w:t>permite</w:t>
      </w:r>
      <w:r w:rsidR="005B60B5" w:rsidRPr="007246B3">
        <w:rPr>
          <w:rFonts w:ascii="Times New Roman" w:eastAsia="Times New Roman" w:hAnsi="Times New Roman" w:cs="Times New Roman"/>
          <w:color w:val="auto"/>
          <w:spacing w:val="-12"/>
          <w:szCs w:val="24"/>
          <w:lang w:val="es-ES"/>
        </w:rPr>
        <w:t xml:space="preserve"> </w:t>
      </w:r>
      <w:r w:rsidR="005B60B5" w:rsidRPr="007246B3">
        <w:rPr>
          <w:rFonts w:ascii="Times New Roman" w:eastAsia="Times New Roman" w:hAnsi="Times New Roman" w:cs="Times New Roman"/>
          <w:color w:val="auto"/>
          <w:szCs w:val="24"/>
          <w:lang w:val="es-ES"/>
        </w:rPr>
        <w:t>identificar</w:t>
      </w:r>
      <w:r w:rsidR="005B60B5" w:rsidRPr="007246B3">
        <w:rPr>
          <w:rFonts w:ascii="Times New Roman" w:eastAsia="Times New Roman" w:hAnsi="Times New Roman" w:cs="Times New Roman"/>
          <w:color w:val="auto"/>
          <w:spacing w:val="-16"/>
          <w:szCs w:val="24"/>
          <w:lang w:val="es-ES"/>
        </w:rPr>
        <w:t xml:space="preserve"> </w:t>
      </w:r>
      <w:r w:rsidR="005B60B5" w:rsidRPr="007246B3">
        <w:rPr>
          <w:rFonts w:ascii="Times New Roman" w:eastAsia="Times New Roman" w:hAnsi="Times New Roman" w:cs="Times New Roman"/>
          <w:color w:val="auto"/>
          <w:szCs w:val="24"/>
          <w:lang w:val="es-ES"/>
        </w:rPr>
        <w:t>y</w:t>
      </w:r>
      <w:r w:rsidR="005B60B5" w:rsidRPr="007246B3">
        <w:rPr>
          <w:rFonts w:ascii="Times New Roman" w:eastAsia="Times New Roman" w:hAnsi="Times New Roman" w:cs="Times New Roman"/>
          <w:color w:val="auto"/>
          <w:spacing w:val="-12"/>
          <w:szCs w:val="24"/>
          <w:lang w:val="es-ES"/>
        </w:rPr>
        <w:t xml:space="preserve"> </w:t>
      </w:r>
      <w:r w:rsidR="005B60B5" w:rsidRPr="007246B3">
        <w:rPr>
          <w:rFonts w:ascii="Times New Roman" w:eastAsia="Times New Roman" w:hAnsi="Times New Roman" w:cs="Times New Roman"/>
          <w:color w:val="auto"/>
          <w:szCs w:val="24"/>
          <w:lang w:val="es-ES"/>
        </w:rPr>
        <w:t>cuantificar</w:t>
      </w:r>
      <w:r w:rsidR="005B60B5" w:rsidRPr="007246B3">
        <w:rPr>
          <w:rFonts w:ascii="Times New Roman" w:eastAsia="Times New Roman" w:hAnsi="Times New Roman" w:cs="Times New Roman"/>
          <w:color w:val="auto"/>
          <w:spacing w:val="-57"/>
          <w:szCs w:val="24"/>
          <w:lang w:val="es-ES"/>
        </w:rPr>
        <w:t xml:space="preserve"> </w:t>
      </w:r>
      <w:r w:rsidR="005B60B5" w:rsidRPr="007246B3">
        <w:rPr>
          <w:rFonts w:ascii="Times New Roman" w:eastAsia="Times New Roman" w:hAnsi="Times New Roman" w:cs="Times New Roman"/>
          <w:color w:val="auto"/>
          <w:szCs w:val="24"/>
          <w:lang w:val="es-ES"/>
        </w:rPr>
        <w:t>dos aspectos. La primera, la ponderación que tienen las variables involucradas en el</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mecanismo</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de</w:t>
      </w:r>
      <w:r w:rsidR="005B60B5" w:rsidRPr="007246B3">
        <w:rPr>
          <w:rFonts w:ascii="Times New Roman" w:eastAsia="Times New Roman" w:hAnsi="Times New Roman" w:cs="Times New Roman"/>
          <w:color w:val="auto"/>
          <w:spacing w:val="-5"/>
          <w:szCs w:val="24"/>
          <w:lang w:val="es-ES"/>
        </w:rPr>
        <w:t xml:space="preserve"> </w:t>
      </w:r>
      <w:r w:rsidR="005B60B5" w:rsidRPr="007246B3">
        <w:rPr>
          <w:rFonts w:ascii="Times New Roman" w:eastAsia="Times New Roman" w:hAnsi="Times New Roman" w:cs="Times New Roman"/>
          <w:color w:val="auto"/>
          <w:szCs w:val="24"/>
          <w:lang w:val="es-ES"/>
        </w:rPr>
        <w:t>ajuste</w:t>
      </w:r>
      <w:r w:rsidR="005B60B5" w:rsidRPr="007246B3">
        <w:rPr>
          <w:rFonts w:ascii="Times New Roman" w:eastAsia="Times New Roman" w:hAnsi="Times New Roman" w:cs="Times New Roman"/>
          <w:color w:val="auto"/>
          <w:spacing w:val="-5"/>
          <w:szCs w:val="24"/>
          <w:lang w:val="es-ES"/>
        </w:rPr>
        <w:t xml:space="preserve"> </w:t>
      </w:r>
      <w:r w:rsidR="005B60B5" w:rsidRPr="007246B3">
        <w:rPr>
          <w:rFonts w:ascii="Times New Roman" w:eastAsia="Times New Roman" w:hAnsi="Times New Roman" w:cs="Times New Roman"/>
          <w:color w:val="auto"/>
          <w:szCs w:val="24"/>
          <w:lang w:val="es-ES"/>
        </w:rPr>
        <w:t>en</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la</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política</w:t>
      </w:r>
      <w:r w:rsidR="005B60B5" w:rsidRPr="007246B3">
        <w:rPr>
          <w:rFonts w:ascii="Times New Roman" w:eastAsia="Times New Roman" w:hAnsi="Times New Roman" w:cs="Times New Roman"/>
          <w:color w:val="auto"/>
          <w:spacing w:val="-5"/>
          <w:szCs w:val="24"/>
          <w:lang w:val="es-ES"/>
        </w:rPr>
        <w:t xml:space="preserve"> </w:t>
      </w:r>
      <w:r w:rsidR="005B60B5" w:rsidRPr="007246B3">
        <w:rPr>
          <w:rFonts w:ascii="Times New Roman" w:eastAsia="Times New Roman" w:hAnsi="Times New Roman" w:cs="Times New Roman"/>
          <w:color w:val="auto"/>
          <w:szCs w:val="24"/>
          <w:lang w:val="es-ES"/>
        </w:rPr>
        <w:t>de</w:t>
      </w:r>
      <w:r w:rsidR="005B60B5" w:rsidRPr="007246B3">
        <w:rPr>
          <w:rFonts w:ascii="Times New Roman" w:eastAsia="Times New Roman" w:hAnsi="Times New Roman" w:cs="Times New Roman"/>
          <w:color w:val="auto"/>
          <w:spacing w:val="-5"/>
          <w:szCs w:val="24"/>
          <w:lang w:val="es-ES"/>
        </w:rPr>
        <w:t xml:space="preserve"> </w:t>
      </w:r>
      <w:r w:rsidR="005B60B5" w:rsidRPr="007246B3">
        <w:rPr>
          <w:rFonts w:ascii="Times New Roman" w:eastAsia="Times New Roman" w:hAnsi="Times New Roman" w:cs="Times New Roman"/>
          <w:color w:val="auto"/>
          <w:szCs w:val="24"/>
          <w:lang w:val="es-ES"/>
        </w:rPr>
        <w:t>las</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autoridades</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monetarias</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que</w:t>
      </w:r>
      <w:r w:rsidR="005B60B5" w:rsidRPr="007246B3">
        <w:rPr>
          <w:rFonts w:ascii="Times New Roman" w:eastAsia="Times New Roman" w:hAnsi="Times New Roman" w:cs="Times New Roman"/>
          <w:color w:val="auto"/>
          <w:spacing w:val="-5"/>
          <w:szCs w:val="24"/>
          <w:lang w:val="es-ES"/>
        </w:rPr>
        <w:t xml:space="preserve"> </w:t>
      </w:r>
      <w:r w:rsidR="005B60B5" w:rsidRPr="007246B3">
        <w:rPr>
          <w:rFonts w:ascii="Times New Roman" w:eastAsia="Times New Roman" w:hAnsi="Times New Roman" w:cs="Times New Roman"/>
          <w:color w:val="auto"/>
          <w:szCs w:val="24"/>
          <w:lang w:val="es-ES"/>
        </w:rPr>
        <w:t>le</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permitan</w:t>
      </w:r>
      <w:r w:rsidR="005B60B5" w:rsidRPr="007246B3">
        <w:rPr>
          <w:rFonts w:ascii="Times New Roman" w:eastAsia="Times New Roman" w:hAnsi="Times New Roman" w:cs="Times New Roman"/>
          <w:color w:val="auto"/>
          <w:spacing w:val="-4"/>
          <w:szCs w:val="24"/>
          <w:lang w:val="es-ES"/>
        </w:rPr>
        <w:t xml:space="preserve"> </w:t>
      </w:r>
      <w:r w:rsidR="005B60B5" w:rsidRPr="007246B3">
        <w:rPr>
          <w:rFonts w:ascii="Times New Roman" w:eastAsia="Times New Roman" w:hAnsi="Times New Roman" w:cs="Times New Roman"/>
          <w:color w:val="auto"/>
          <w:szCs w:val="24"/>
          <w:lang w:val="es-ES"/>
        </w:rPr>
        <w:t>alcanzar</w:t>
      </w:r>
      <w:r w:rsidR="005B60B5" w:rsidRPr="007246B3">
        <w:rPr>
          <w:rFonts w:ascii="Times New Roman" w:eastAsia="Times New Roman" w:hAnsi="Times New Roman" w:cs="Times New Roman"/>
          <w:color w:val="auto"/>
          <w:spacing w:val="-58"/>
          <w:szCs w:val="24"/>
          <w:lang w:val="es-ES"/>
        </w:rPr>
        <w:t xml:space="preserve"> </w:t>
      </w:r>
      <w:r w:rsidR="005B60B5" w:rsidRPr="007246B3">
        <w:rPr>
          <w:rFonts w:ascii="Times New Roman" w:eastAsia="Times New Roman" w:hAnsi="Times New Roman" w:cs="Times New Roman"/>
          <w:color w:val="auto"/>
          <w:szCs w:val="24"/>
          <w:lang w:val="es-ES"/>
        </w:rPr>
        <w:t>su objetivo principal de estabilidad de precios, explicada en parte por el comportamiento</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de las reservas internacionales y el apoyo fiscal en determinados periodos y, la segunda</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identificar si en el periodo en estudio predominan más los regímenes de baja volatilidad</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cambiaria</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real</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fruto de</w:t>
      </w:r>
      <w:r w:rsidR="005B60B5" w:rsidRPr="007246B3">
        <w:rPr>
          <w:rFonts w:ascii="Times New Roman" w:eastAsia="Times New Roman" w:hAnsi="Times New Roman" w:cs="Times New Roman"/>
          <w:color w:val="auto"/>
          <w:spacing w:val="-3"/>
          <w:szCs w:val="24"/>
          <w:lang w:val="es-ES"/>
        </w:rPr>
        <w:t xml:space="preserve"> </w:t>
      </w:r>
      <w:r w:rsidR="005B60B5" w:rsidRPr="007246B3">
        <w:rPr>
          <w:rFonts w:ascii="Times New Roman" w:eastAsia="Times New Roman" w:hAnsi="Times New Roman" w:cs="Times New Roman"/>
          <w:color w:val="auto"/>
          <w:szCs w:val="24"/>
          <w:lang w:val="es-ES"/>
        </w:rPr>
        <w:t>una</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mayor</w:t>
      </w:r>
      <w:r w:rsidR="005B60B5" w:rsidRPr="007246B3">
        <w:rPr>
          <w:rFonts w:ascii="Times New Roman" w:eastAsia="Times New Roman" w:hAnsi="Times New Roman" w:cs="Times New Roman"/>
          <w:color w:val="auto"/>
          <w:spacing w:val="-3"/>
          <w:szCs w:val="24"/>
          <w:lang w:val="es-ES"/>
        </w:rPr>
        <w:t xml:space="preserve"> </w:t>
      </w:r>
      <w:r w:rsidR="005B60B5" w:rsidRPr="007246B3">
        <w:rPr>
          <w:rFonts w:ascii="Times New Roman" w:eastAsia="Times New Roman" w:hAnsi="Times New Roman" w:cs="Times New Roman"/>
          <w:color w:val="auto"/>
          <w:szCs w:val="24"/>
          <w:lang w:val="es-ES"/>
        </w:rPr>
        <w:t>apreciación del</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tipo de</w:t>
      </w:r>
      <w:r w:rsidR="005B60B5" w:rsidRPr="007246B3">
        <w:rPr>
          <w:rFonts w:ascii="Times New Roman" w:eastAsia="Times New Roman" w:hAnsi="Times New Roman" w:cs="Times New Roman"/>
          <w:color w:val="auto"/>
          <w:spacing w:val="-2"/>
          <w:szCs w:val="24"/>
          <w:lang w:val="es-ES"/>
        </w:rPr>
        <w:t xml:space="preserve"> </w:t>
      </w:r>
      <w:r w:rsidR="005B60B5" w:rsidRPr="007246B3">
        <w:rPr>
          <w:rFonts w:ascii="Times New Roman" w:eastAsia="Times New Roman" w:hAnsi="Times New Roman" w:cs="Times New Roman"/>
          <w:color w:val="auto"/>
          <w:szCs w:val="24"/>
          <w:lang w:val="es-ES"/>
        </w:rPr>
        <w:t>cambio real</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en</w:t>
      </w:r>
      <w:r w:rsidR="005B60B5" w:rsidRPr="007246B3">
        <w:rPr>
          <w:rFonts w:ascii="Times New Roman" w:eastAsia="Times New Roman" w:hAnsi="Times New Roman" w:cs="Times New Roman"/>
          <w:color w:val="auto"/>
          <w:spacing w:val="-1"/>
          <w:szCs w:val="24"/>
          <w:lang w:val="es-ES"/>
        </w:rPr>
        <w:t xml:space="preserve"> </w:t>
      </w:r>
      <w:r w:rsidR="005B60B5" w:rsidRPr="007246B3">
        <w:rPr>
          <w:rFonts w:ascii="Times New Roman" w:eastAsia="Times New Roman" w:hAnsi="Times New Roman" w:cs="Times New Roman"/>
          <w:color w:val="auto"/>
          <w:szCs w:val="24"/>
          <w:lang w:val="es-ES"/>
        </w:rPr>
        <w:t>el</w:t>
      </w:r>
      <w:r w:rsidR="005B60B5" w:rsidRPr="007246B3">
        <w:rPr>
          <w:rFonts w:ascii="Times New Roman" w:eastAsia="Times New Roman" w:hAnsi="Times New Roman" w:cs="Times New Roman"/>
          <w:color w:val="auto"/>
          <w:spacing w:val="2"/>
          <w:szCs w:val="24"/>
          <w:lang w:val="es-ES"/>
        </w:rPr>
        <w:t xml:space="preserve"> </w:t>
      </w:r>
      <w:r w:rsidR="005B60B5" w:rsidRPr="007246B3">
        <w:rPr>
          <w:rFonts w:ascii="Times New Roman" w:eastAsia="Times New Roman" w:hAnsi="Times New Roman" w:cs="Times New Roman"/>
          <w:color w:val="auto"/>
          <w:szCs w:val="24"/>
          <w:lang w:val="es-ES"/>
        </w:rPr>
        <w:t>tiempo.</w:t>
      </w:r>
      <w:r w:rsidR="005B60B5">
        <w:rPr>
          <w:rFonts w:ascii="Times New Roman" w:eastAsia="Times New Roman" w:hAnsi="Times New Roman" w:cs="Times New Roman"/>
          <w:color w:val="auto"/>
          <w:szCs w:val="24"/>
          <w:lang w:val="es-ES"/>
        </w:rPr>
        <w:t xml:space="preserve"> </w:t>
      </w:r>
    </w:p>
    <w:p w14:paraId="0C429F68" w14:textId="33C264F1" w:rsidR="007246B3" w:rsidRPr="007246B3" w:rsidRDefault="005B60B5" w:rsidP="005B60B5">
      <w:pPr>
        <w:spacing w:after="0" w:line="360" w:lineRule="auto"/>
        <w:ind w:left="0" w:right="533" w:firstLine="0"/>
        <w:rPr>
          <w:rFonts w:ascii="Times New Roman" w:hAnsi="Times New Roman" w:cs="Times New Roman"/>
          <w:szCs w:val="24"/>
          <w:lang w:val="es-BO"/>
        </w:rPr>
        <w:sectPr w:rsidR="007246B3" w:rsidRPr="007246B3">
          <w:pgSz w:w="11910" w:h="16840"/>
          <w:pgMar w:top="1180" w:right="780" w:bottom="1220" w:left="1280" w:header="0" w:footer="1039" w:gutter="0"/>
          <w:cols w:space="720"/>
        </w:sectPr>
      </w:pPr>
      <w:r w:rsidRPr="007246B3">
        <w:rPr>
          <w:rFonts w:ascii="Times New Roman" w:eastAsia="Times New Roman" w:hAnsi="Times New Roman" w:cs="Times New Roman"/>
          <w:color w:val="auto"/>
          <w:szCs w:val="24"/>
          <w:lang w:val="es-ES"/>
        </w:rPr>
        <w:t>Finalmente, presentamos las conclusiones y algunas propuestas de política económico-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monetario que podrían implementar en el mediano plazo las autoridades monetarias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México</w:t>
      </w:r>
      <w:r w:rsidRPr="007246B3">
        <w:rPr>
          <w:rFonts w:ascii="Times New Roman" w:eastAsia="Times New Roman" w:hAnsi="Times New Roman" w:cs="Times New Roman"/>
          <w:color w:val="auto"/>
          <w:spacing w:val="-15"/>
          <w:szCs w:val="24"/>
          <w:lang w:val="es-ES"/>
        </w:rPr>
        <w:t xml:space="preserve"> </w:t>
      </w:r>
      <w:r w:rsidRPr="007246B3">
        <w:rPr>
          <w:rFonts w:ascii="Times New Roman" w:eastAsia="Times New Roman" w:hAnsi="Times New Roman" w:cs="Times New Roman"/>
          <w:color w:val="auto"/>
          <w:szCs w:val="24"/>
          <w:lang w:val="es-ES"/>
        </w:rPr>
        <w:t>y</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Brasil,</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considerando</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que</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ambos</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países</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comparten</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características</w:t>
      </w:r>
      <w:r w:rsidRPr="007246B3">
        <w:rPr>
          <w:rFonts w:ascii="Times New Roman" w:eastAsia="Times New Roman" w:hAnsi="Times New Roman" w:cs="Times New Roman"/>
          <w:color w:val="auto"/>
          <w:spacing w:val="-13"/>
          <w:szCs w:val="24"/>
          <w:lang w:val="es-ES"/>
        </w:rPr>
        <w:t xml:space="preserve"> </w:t>
      </w:r>
      <w:r w:rsidRPr="007246B3">
        <w:rPr>
          <w:rFonts w:ascii="Times New Roman" w:eastAsia="Times New Roman" w:hAnsi="Times New Roman" w:cs="Times New Roman"/>
          <w:color w:val="auto"/>
          <w:szCs w:val="24"/>
          <w:lang w:val="es-ES"/>
        </w:rPr>
        <w:t>comunes</w:t>
      </w:r>
      <w:r w:rsidRPr="007246B3">
        <w:rPr>
          <w:rFonts w:ascii="Times New Roman" w:eastAsia="Times New Roman" w:hAnsi="Times New Roman" w:cs="Times New Roman"/>
          <w:color w:val="auto"/>
          <w:spacing w:val="-14"/>
          <w:szCs w:val="24"/>
          <w:lang w:val="es-ES"/>
        </w:rPr>
        <w:t xml:space="preserve"> </w:t>
      </w:r>
      <w:r w:rsidRPr="007246B3">
        <w:rPr>
          <w:rFonts w:ascii="Times New Roman" w:eastAsia="Times New Roman" w:hAnsi="Times New Roman" w:cs="Times New Roman"/>
          <w:color w:val="auto"/>
          <w:szCs w:val="24"/>
          <w:lang w:val="es-ES"/>
        </w:rPr>
        <w:t>como</w:t>
      </w:r>
      <w:r w:rsidRPr="007246B3">
        <w:rPr>
          <w:rFonts w:ascii="Times New Roman" w:eastAsia="Times New Roman" w:hAnsi="Times New Roman" w:cs="Times New Roman"/>
          <w:color w:val="auto"/>
          <w:spacing w:val="-58"/>
          <w:szCs w:val="24"/>
          <w:lang w:val="es-ES"/>
        </w:rPr>
        <w:t xml:space="preserve"> </w:t>
      </w:r>
      <w:r w:rsidRPr="007246B3">
        <w:rPr>
          <w:rFonts w:ascii="Times New Roman" w:eastAsia="Times New Roman" w:hAnsi="Times New Roman" w:cs="Times New Roman"/>
          <w:color w:val="auto"/>
          <w:szCs w:val="24"/>
          <w:lang w:val="es-ES"/>
        </w:rPr>
        <w:t>la presencia del miedo a flotar debido al efecto todavía significativo del tipo de cambio a</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la inflación, problemas de inflación estructural, la continua intervención en los mercados</w:t>
      </w:r>
      <w:r w:rsidRPr="007246B3">
        <w:rPr>
          <w:rFonts w:ascii="Times New Roman" w:eastAsia="Times New Roman" w:hAnsi="Times New Roman" w:cs="Times New Roman"/>
          <w:color w:val="auto"/>
          <w:spacing w:val="-57"/>
          <w:szCs w:val="24"/>
          <w:lang w:val="es-ES"/>
        </w:rPr>
        <w:t xml:space="preserve"> </w:t>
      </w:r>
      <w:r w:rsidRPr="007246B3">
        <w:rPr>
          <w:rFonts w:ascii="Times New Roman" w:eastAsia="Times New Roman" w:hAnsi="Times New Roman" w:cs="Times New Roman"/>
          <w:color w:val="auto"/>
          <w:szCs w:val="24"/>
          <w:lang w:val="es-ES"/>
        </w:rPr>
        <w:t>cambiarios por parte de ambos bancos centrales esterilizando la operación por medio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la colocación de valores gubernamentales no evitando la mayor apreciación del tipo de</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cambio</w:t>
      </w:r>
      <w:r w:rsidRPr="007246B3">
        <w:rPr>
          <w:rFonts w:ascii="Times New Roman" w:eastAsia="Times New Roman" w:hAnsi="Times New Roman" w:cs="Times New Roman"/>
          <w:color w:val="auto"/>
          <w:spacing w:val="-1"/>
          <w:szCs w:val="24"/>
          <w:lang w:val="es-ES"/>
        </w:rPr>
        <w:t xml:space="preserve"> </w:t>
      </w:r>
      <w:r w:rsidRPr="007246B3">
        <w:rPr>
          <w:rFonts w:ascii="Times New Roman" w:eastAsia="Times New Roman" w:hAnsi="Times New Roman" w:cs="Times New Roman"/>
          <w:color w:val="auto"/>
          <w:szCs w:val="24"/>
          <w:lang w:val="es-ES"/>
        </w:rPr>
        <w:t>real y la</w:t>
      </w:r>
      <w:r w:rsidRPr="007246B3">
        <w:rPr>
          <w:rFonts w:ascii="Times New Roman" w:eastAsia="Times New Roman" w:hAnsi="Times New Roman" w:cs="Times New Roman"/>
          <w:color w:val="auto"/>
          <w:spacing w:val="-1"/>
          <w:szCs w:val="24"/>
          <w:lang w:val="es-ES"/>
        </w:rPr>
        <w:t xml:space="preserve"> </w:t>
      </w:r>
      <w:r>
        <w:rPr>
          <w:rFonts w:ascii="Times New Roman" w:eastAsia="Times New Roman" w:hAnsi="Times New Roman" w:cs="Times New Roman"/>
          <w:color w:val="auto"/>
          <w:szCs w:val="24"/>
          <w:lang w:val="es-ES"/>
        </w:rPr>
        <w:t>sobreacumulación de reservas.</w:t>
      </w:r>
    </w:p>
    <w:p w14:paraId="032FB256" w14:textId="6F761965" w:rsidR="00FD1DC0" w:rsidRDefault="00512D35" w:rsidP="005B60B5">
      <w:pPr>
        <w:spacing w:after="0" w:line="360" w:lineRule="auto"/>
        <w:ind w:left="0" w:right="0" w:firstLine="0"/>
        <w:jc w:val="left"/>
        <w:rPr>
          <w:b/>
          <w:lang w:val="es-BO"/>
        </w:rPr>
      </w:pPr>
      <w:r>
        <w:rPr>
          <w:b/>
          <w:lang w:val="es-BO"/>
        </w:rPr>
        <w:t>Acápite</w:t>
      </w:r>
      <w:r w:rsidR="00FD1DC0">
        <w:rPr>
          <w:b/>
          <w:lang w:val="es-BO"/>
        </w:rPr>
        <w:t xml:space="preserve"> I. Modelo macroeconómico de objetivos de inflación</w:t>
      </w:r>
    </w:p>
    <w:p w14:paraId="58943C93" w14:textId="306DE67A" w:rsidR="009C24C1" w:rsidRPr="00FD1DC0" w:rsidRDefault="009C24C1" w:rsidP="008D25A4">
      <w:pPr>
        <w:spacing w:after="0" w:line="360" w:lineRule="auto"/>
        <w:ind w:left="50" w:right="0" w:firstLine="0"/>
        <w:jc w:val="left"/>
        <w:rPr>
          <w:b/>
          <w:lang w:val="es-BO"/>
        </w:rPr>
      </w:pPr>
      <w:r w:rsidRPr="00FD1DC0">
        <w:rPr>
          <w:b/>
          <w:lang w:val="es-BO"/>
        </w:rPr>
        <w:t>1.</w:t>
      </w:r>
      <w:r w:rsidR="00C63A24" w:rsidRPr="00FD1DC0">
        <w:rPr>
          <w:b/>
          <w:lang w:val="es-BO"/>
        </w:rPr>
        <w:t>1</w:t>
      </w:r>
      <w:r w:rsidRPr="00FD1DC0">
        <w:rPr>
          <w:b/>
          <w:lang w:val="es-BO"/>
        </w:rPr>
        <w:t>. El Modelo Teórico de Objetivos de Inflación</w:t>
      </w:r>
    </w:p>
    <w:p w14:paraId="55F79F4D" w14:textId="1675C0F8" w:rsidR="009C24C1" w:rsidRPr="00FD1DC0" w:rsidRDefault="00571705" w:rsidP="008D25A4">
      <w:pPr>
        <w:spacing w:after="0" w:line="360" w:lineRule="auto"/>
        <w:ind w:left="40" w:right="539" w:firstLine="0"/>
        <w:rPr>
          <w:rFonts w:ascii="Times New Roman" w:hAnsi="Times New Roman" w:cs="Times New Roman"/>
          <w:szCs w:val="24"/>
          <w:lang w:val="es-BO"/>
        </w:rPr>
      </w:pPr>
      <w:r w:rsidRPr="00FD1DC0">
        <w:rPr>
          <w:rFonts w:ascii="Times New Roman" w:hAnsi="Times New Roman" w:cs="Times New Roman"/>
          <w:szCs w:val="24"/>
          <w:lang w:val="es-BO"/>
        </w:rPr>
        <w:t>E</w:t>
      </w:r>
      <w:r w:rsidR="009C24C1" w:rsidRPr="00FD1DC0">
        <w:rPr>
          <w:rFonts w:ascii="Times New Roman" w:hAnsi="Times New Roman" w:cs="Times New Roman"/>
          <w:szCs w:val="24"/>
          <w:lang w:val="es-BO"/>
        </w:rPr>
        <w:t>l modelo teó</w:t>
      </w:r>
      <w:r w:rsidRPr="00FD1DC0">
        <w:rPr>
          <w:rFonts w:ascii="Times New Roman" w:hAnsi="Times New Roman" w:cs="Times New Roman"/>
          <w:szCs w:val="24"/>
          <w:lang w:val="es-BO"/>
        </w:rPr>
        <w:t>rico de objetivos de inflación ROI</w:t>
      </w:r>
      <w:r w:rsidR="009C24C1" w:rsidRPr="00FD1DC0">
        <w:rPr>
          <w:rFonts w:ascii="Times New Roman" w:hAnsi="Times New Roman" w:cs="Times New Roman"/>
          <w:szCs w:val="24"/>
          <w:lang w:val="es-BO"/>
        </w:rPr>
        <w:t xml:space="preserve">, siguiendo </w:t>
      </w:r>
      <w:r w:rsidR="009A42EF" w:rsidRPr="00FD1DC0">
        <w:rPr>
          <w:rFonts w:ascii="Times New Roman" w:hAnsi="Times New Roman" w:cs="Times New Roman"/>
          <w:szCs w:val="24"/>
          <w:lang w:val="es-BO"/>
        </w:rPr>
        <w:t xml:space="preserve">la línea de </w:t>
      </w:r>
      <w:r w:rsidRPr="00FD1DC0">
        <w:rPr>
          <w:rFonts w:ascii="Times New Roman" w:hAnsi="Times New Roman" w:cs="Times New Roman"/>
          <w:szCs w:val="24"/>
          <w:lang w:val="es-BO"/>
        </w:rPr>
        <w:t xml:space="preserve">(Perrotini, </w:t>
      </w:r>
      <w:r w:rsidR="009A42EF" w:rsidRPr="00FD1DC0">
        <w:rPr>
          <w:rFonts w:ascii="Times New Roman" w:hAnsi="Times New Roman" w:cs="Times New Roman"/>
          <w:szCs w:val="24"/>
          <w:lang w:val="es-BO"/>
        </w:rPr>
        <w:t>2007</w:t>
      </w:r>
      <w:r w:rsidRPr="00FD1DC0">
        <w:rPr>
          <w:rFonts w:ascii="Times New Roman" w:hAnsi="Times New Roman" w:cs="Times New Roman"/>
          <w:szCs w:val="24"/>
          <w:lang w:val="es-BO"/>
        </w:rPr>
        <w:t>; 2008</w:t>
      </w:r>
      <w:r w:rsidR="009A42EF" w:rsidRPr="00FD1DC0">
        <w:rPr>
          <w:rFonts w:ascii="Times New Roman" w:hAnsi="Times New Roman" w:cs="Times New Roman"/>
          <w:szCs w:val="24"/>
          <w:lang w:val="es-BO"/>
        </w:rPr>
        <w:t>)</w:t>
      </w:r>
      <w:r w:rsidRPr="00FD1DC0">
        <w:rPr>
          <w:rFonts w:ascii="Times New Roman" w:hAnsi="Times New Roman" w:cs="Times New Roman"/>
          <w:szCs w:val="24"/>
          <w:lang w:val="es-BO"/>
        </w:rPr>
        <w:t xml:space="preserve"> </w:t>
      </w:r>
      <w:r w:rsidR="00551770" w:rsidRPr="00FD1DC0">
        <w:rPr>
          <w:rFonts w:ascii="Times New Roman" w:hAnsi="Times New Roman" w:cs="Times New Roman"/>
          <w:szCs w:val="24"/>
          <w:lang w:val="es-BO"/>
        </w:rPr>
        <w:t>la estructura del modelo</w:t>
      </w:r>
      <w:r w:rsidR="00F52B35" w:rsidRPr="00FD1DC0">
        <w:rPr>
          <w:rFonts w:ascii="Times New Roman" w:hAnsi="Times New Roman" w:cs="Times New Roman"/>
          <w:szCs w:val="24"/>
          <w:lang w:val="es-BO"/>
        </w:rPr>
        <w:t>,</w:t>
      </w:r>
      <w:r w:rsidR="00551770" w:rsidRPr="00FD1DC0">
        <w:rPr>
          <w:rFonts w:ascii="Times New Roman" w:hAnsi="Times New Roman" w:cs="Times New Roman"/>
          <w:szCs w:val="24"/>
          <w:lang w:val="es-BO"/>
        </w:rPr>
        <w:t xml:space="preserve"> </w:t>
      </w:r>
      <w:r w:rsidR="00FD67A2" w:rsidRPr="00FD1DC0">
        <w:rPr>
          <w:rFonts w:ascii="Times New Roman" w:hAnsi="Times New Roman" w:cs="Times New Roman"/>
          <w:szCs w:val="24"/>
          <w:lang w:val="es-BO"/>
        </w:rPr>
        <w:t>está</w:t>
      </w:r>
      <w:r w:rsidR="00E475CD" w:rsidRPr="00FD1DC0">
        <w:rPr>
          <w:rFonts w:ascii="Times New Roman" w:hAnsi="Times New Roman" w:cs="Times New Roman"/>
          <w:szCs w:val="24"/>
          <w:lang w:val="es-BO"/>
        </w:rPr>
        <w:t xml:space="preserve"> compuesta</w:t>
      </w:r>
      <w:r w:rsidR="00F52B35" w:rsidRPr="00FD1DC0">
        <w:rPr>
          <w:rFonts w:ascii="Times New Roman" w:hAnsi="Times New Roman" w:cs="Times New Roman"/>
          <w:szCs w:val="24"/>
          <w:lang w:val="es-BO"/>
        </w:rPr>
        <w:t xml:space="preserve"> de tres ecuaciones relacionadas entre sí, que representan la dinámica de la demanda agregada (Curva IS), la inflación (corresponde a la hipótesis de la NAIRU</w:t>
      </w:r>
      <w:r w:rsidR="00F52B35" w:rsidRPr="00FD1DC0">
        <w:rPr>
          <w:rFonts w:ascii="Times New Roman" w:hAnsi="Times New Roman" w:cs="Times New Roman"/>
          <w:szCs w:val="24"/>
          <w:vertAlign w:val="superscript"/>
        </w:rPr>
        <w:footnoteReference w:id="1"/>
      </w:r>
      <w:r w:rsidR="00F52B35" w:rsidRPr="00FD1DC0">
        <w:rPr>
          <w:rFonts w:ascii="Times New Roman" w:hAnsi="Times New Roman" w:cs="Times New Roman"/>
          <w:szCs w:val="24"/>
          <w:lang w:val="es-BO"/>
        </w:rPr>
        <w:t>) y la tasa de interés real (Regla de Taylor, que es la función de reacción de la banca central):</w:t>
      </w:r>
      <w:r w:rsidR="000C6B17" w:rsidRPr="00FD1DC0">
        <w:rPr>
          <w:rFonts w:ascii="Times New Roman" w:hAnsi="Times New Roman" w:cs="Times New Roman"/>
          <w:szCs w:val="24"/>
          <w:lang w:val="es-BO"/>
        </w:rPr>
        <w:t xml:space="preserve"> </w:t>
      </w:r>
    </w:p>
    <w:p w14:paraId="015DD8B0" w14:textId="2AE4E83C" w:rsidR="009C24C1" w:rsidRPr="00FD1DC0" w:rsidRDefault="003114C0" w:rsidP="008D25A4">
      <w:pPr>
        <w:spacing w:after="0" w:line="360" w:lineRule="auto"/>
        <w:ind w:left="51"/>
        <w:rPr>
          <w:rFonts w:ascii="Times New Roman" w:hAnsi="Times New Roman" w:cs="Times New Roman"/>
          <w:szCs w:val="24"/>
        </w:rPr>
      </w:pPr>
      <w:r w:rsidRPr="00FD1DC0">
        <w:rPr>
          <w:rFonts w:ascii="Times New Roman" w:hAnsi="Times New Roman" w:cs="Times New Roman"/>
          <w:szCs w:val="24"/>
        </w:rPr>
        <w:t>y</w:t>
      </w:r>
      <w:r w:rsidRPr="00FD1DC0">
        <w:rPr>
          <w:rFonts w:ascii="Times New Roman" w:hAnsi="Times New Roman" w:cs="Times New Roman"/>
          <w:szCs w:val="24"/>
          <w:vertAlign w:val="subscript"/>
        </w:rPr>
        <w:t>t</w:t>
      </w:r>
      <w:r w:rsidR="003F419C" w:rsidRPr="00FD1DC0">
        <w:rPr>
          <w:rFonts w:ascii="Times New Roman" w:hAnsi="Times New Roman" w:cs="Times New Roman"/>
          <w:szCs w:val="24"/>
        </w:rPr>
        <w:t xml:space="preserve"> = </w:t>
      </w:r>
      <w:r w:rsidR="003F419C" w:rsidRPr="00FD1DC0">
        <w:rPr>
          <w:rFonts w:ascii="Times New Roman" w:hAnsi="Times New Roman" w:cs="Times New Roman"/>
          <w:szCs w:val="24"/>
          <w:lang w:val="es-BO"/>
        </w:rPr>
        <w:t>η</w:t>
      </w:r>
      <w:r w:rsidRPr="00FD1DC0">
        <w:rPr>
          <w:rFonts w:ascii="Times New Roman" w:hAnsi="Times New Roman" w:cs="Times New Roman"/>
          <w:szCs w:val="24"/>
          <w:vertAlign w:val="subscript"/>
        </w:rPr>
        <w:t>0</w:t>
      </w:r>
      <w:r w:rsidRPr="00FD1DC0">
        <w:rPr>
          <w:rFonts w:ascii="Times New Roman" w:hAnsi="Times New Roman" w:cs="Times New Roman"/>
          <w:szCs w:val="24"/>
        </w:rPr>
        <w:t xml:space="preserve"> –</w:t>
      </w:r>
      <w:r w:rsidR="001E39DB" w:rsidRPr="00FD1DC0">
        <w:rPr>
          <w:rFonts w:ascii="Times New Roman" w:hAnsi="Times New Roman" w:cs="Times New Roman"/>
          <w:szCs w:val="24"/>
        </w:rPr>
        <w:t xml:space="preserve"> </w:t>
      </w:r>
      <w:r w:rsidR="001E39DB" w:rsidRPr="00FD1DC0">
        <w:rPr>
          <w:rFonts w:ascii="Times New Roman" w:hAnsi="Times New Roman" w:cs="Times New Roman"/>
          <w:szCs w:val="24"/>
          <w:lang w:val="es-BO"/>
        </w:rPr>
        <w:t>η</w:t>
      </w:r>
      <w:r w:rsidR="00F600F5" w:rsidRPr="00FD1DC0">
        <w:rPr>
          <w:rFonts w:ascii="Times New Roman" w:hAnsi="Times New Roman" w:cs="Times New Roman"/>
          <w:szCs w:val="24"/>
          <w:vertAlign w:val="subscript"/>
        </w:rPr>
        <w:t>1</w:t>
      </w:r>
      <w:r w:rsidR="009938F1" w:rsidRPr="00FD1DC0">
        <w:rPr>
          <w:rFonts w:ascii="Times New Roman" w:hAnsi="Times New Roman" w:cs="Times New Roman"/>
          <w:szCs w:val="24"/>
        </w:rPr>
        <w:t xml:space="preserve"> r + </w:t>
      </w:r>
      <w:r w:rsidR="009938F1" w:rsidRPr="00FD1DC0">
        <w:rPr>
          <w:rFonts w:ascii="Times New Roman" w:hAnsi="Times New Roman" w:cs="Times New Roman"/>
          <w:szCs w:val="24"/>
          <w:lang w:val="es-BO"/>
        </w:rPr>
        <w:t>ξ</w:t>
      </w:r>
      <w:r w:rsidRPr="00FD1DC0">
        <w:rPr>
          <w:rFonts w:ascii="Times New Roman" w:hAnsi="Times New Roman" w:cs="Times New Roman"/>
          <w:szCs w:val="24"/>
          <w:vertAlign w:val="subscript"/>
        </w:rPr>
        <w:t>1</w:t>
      </w:r>
      <w:r w:rsidR="009C24C1" w:rsidRPr="00FD1DC0">
        <w:rPr>
          <w:rFonts w:ascii="Times New Roman" w:hAnsi="Times New Roman" w:cs="Times New Roman"/>
          <w:szCs w:val="24"/>
        </w:rPr>
        <w:t xml:space="preserve">                                              </w:t>
      </w:r>
      <w:r w:rsidR="003F28F0" w:rsidRPr="00FD1DC0">
        <w:rPr>
          <w:rFonts w:ascii="Times New Roman" w:hAnsi="Times New Roman" w:cs="Times New Roman"/>
          <w:szCs w:val="24"/>
        </w:rPr>
        <w:t xml:space="preserve"> Curva IS                   (1.1</w:t>
      </w:r>
      <w:r w:rsidR="009C24C1" w:rsidRPr="00FD1DC0">
        <w:rPr>
          <w:rFonts w:ascii="Times New Roman" w:hAnsi="Times New Roman" w:cs="Times New Roman"/>
          <w:szCs w:val="24"/>
        </w:rPr>
        <w:t>)</w:t>
      </w:r>
    </w:p>
    <w:p w14:paraId="084E9190" w14:textId="550F16E8" w:rsidR="009C24C1" w:rsidRPr="00FD1DC0" w:rsidRDefault="003114C0"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π</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 π</w:t>
      </w:r>
      <w:r w:rsidRPr="00FD1DC0">
        <w:rPr>
          <w:rFonts w:ascii="Times New Roman" w:hAnsi="Times New Roman" w:cs="Times New Roman"/>
          <w:szCs w:val="24"/>
          <w:vertAlign w:val="subscript"/>
          <w:lang w:val="es-BO"/>
        </w:rPr>
        <w:t>-1</w:t>
      </w:r>
      <w:r w:rsidR="001E39DB" w:rsidRPr="00FD1DC0">
        <w:rPr>
          <w:rFonts w:ascii="Times New Roman" w:hAnsi="Times New Roman" w:cs="Times New Roman"/>
          <w:szCs w:val="24"/>
          <w:lang w:val="es-BO"/>
        </w:rPr>
        <w:t xml:space="preserve"> + ϕ</w:t>
      </w:r>
      <w:r w:rsidR="00F600F5" w:rsidRPr="00FD1DC0">
        <w:rPr>
          <w:rFonts w:ascii="Times New Roman" w:hAnsi="Times New Roman" w:cs="Times New Roman"/>
          <w:szCs w:val="24"/>
          <w:vertAlign w:val="subscript"/>
          <w:lang w:val="es-BO"/>
        </w:rPr>
        <w:t>1</w:t>
      </w:r>
      <w:r w:rsidRPr="00FD1DC0">
        <w:rPr>
          <w:rFonts w:ascii="Times New Roman" w:hAnsi="Times New Roman" w:cs="Times New Roman"/>
          <w:szCs w:val="24"/>
          <w:lang w:val="es-BO"/>
        </w:rPr>
        <w:t>(y – y</w:t>
      </w:r>
      <w:r w:rsidRPr="00FD1DC0">
        <w:rPr>
          <w:rFonts w:ascii="Times New Roman" w:hAnsi="Times New Roman" w:cs="Times New Roman"/>
          <w:szCs w:val="24"/>
          <w:vertAlign w:val="subscript"/>
          <w:lang w:val="es-BO"/>
        </w:rPr>
        <w:t>n</w:t>
      </w:r>
      <w:r w:rsidRPr="00FD1DC0">
        <w:rPr>
          <w:rFonts w:ascii="Times New Roman" w:hAnsi="Times New Roman" w:cs="Times New Roman"/>
          <w:szCs w:val="24"/>
          <w:lang w:val="es-BO"/>
        </w:rPr>
        <w:t xml:space="preserve">) + </w:t>
      </w:r>
      <w:r w:rsidR="009938F1" w:rsidRPr="00FD1DC0">
        <w:rPr>
          <w:rFonts w:ascii="Times New Roman" w:hAnsi="Times New Roman" w:cs="Times New Roman"/>
          <w:szCs w:val="24"/>
          <w:lang w:val="es-BO"/>
        </w:rPr>
        <w:t>ξ</w:t>
      </w:r>
      <w:r w:rsidRPr="00FD1DC0">
        <w:rPr>
          <w:rFonts w:ascii="Times New Roman" w:hAnsi="Times New Roman" w:cs="Times New Roman"/>
          <w:szCs w:val="24"/>
          <w:vertAlign w:val="subscript"/>
          <w:lang w:val="es-BO"/>
        </w:rPr>
        <w:t>2</w:t>
      </w:r>
      <w:r w:rsidR="009C24C1"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 xml:space="preserve">  </w:t>
      </w:r>
      <w:r w:rsidR="003F28F0" w:rsidRPr="00FD1DC0">
        <w:rPr>
          <w:rFonts w:ascii="Times New Roman" w:hAnsi="Times New Roman" w:cs="Times New Roman"/>
          <w:szCs w:val="24"/>
          <w:lang w:val="es-BO"/>
        </w:rPr>
        <w:t xml:space="preserve">Curva de Phillips     </w:t>
      </w:r>
      <w:r w:rsidR="00090797" w:rsidRPr="00FD1DC0">
        <w:rPr>
          <w:rFonts w:ascii="Times New Roman" w:hAnsi="Times New Roman" w:cs="Times New Roman"/>
          <w:szCs w:val="24"/>
          <w:lang w:val="es-BO"/>
        </w:rPr>
        <w:t xml:space="preserve"> </w:t>
      </w:r>
      <w:r w:rsidR="003F28F0" w:rsidRPr="00FD1DC0">
        <w:rPr>
          <w:rFonts w:ascii="Times New Roman" w:hAnsi="Times New Roman" w:cs="Times New Roman"/>
          <w:szCs w:val="24"/>
          <w:lang w:val="es-BO"/>
        </w:rPr>
        <w:t>(1.2</w:t>
      </w:r>
      <w:r w:rsidR="009C24C1" w:rsidRPr="00FD1DC0">
        <w:rPr>
          <w:rFonts w:ascii="Times New Roman" w:hAnsi="Times New Roman" w:cs="Times New Roman"/>
          <w:szCs w:val="24"/>
          <w:lang w:val="es-BO"/>
        </w:rPr>
        <w:t>)</w:t>
      </w:r>
    </w:p>
    <w:p w14:paraId="4932E893" w14:textId="2F9305AA" w:rsidR="009C24C1" w:rsidRPr="00FD1DC0" w:rsidRDefault="003114C0"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 r*</w:t>
      </w:r>
      <w:r w:rsidR="009C24C1"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 xml:space="preserve">+ </w:t>
      </w:r>
      <w:r w:rsidR="00F600F5" w:rsidRPr="00FD1DC0">
        <w:rPr>
          <w:rFonts w:ascii="Times New Roman" w:hAnsi="Times New Roman" w:cs="Times New Roman"/>
          <w:szCs w:val="24"/>
          <w:lang w:val="es-BO"/>
        </w:rPr>
        <w:t>ψ</w:t>
      </w:r>
      <w:r w:rsidRPr="00FD1DC0">
        <w:rPr>
          <w:rFonts w:ascii="Times New Roman" w:hAnsi="Times New Roman" w:cs="Times New Roman"/>
          <w:szCs w:val="24"/>
          <w:vertAlign w:val="subscript"/>
          <w:lang w:val="es-BO"/>
        </w:rPr>
        <w:t>π</w:t>
      </w:r>
      <w:r w:rsidRPr="00FD1DC0">
        <w:rPr>
          <w:rFonts w:ascii="Times New Roman" w:hAnsi="Times New Roman" w:cs="Times New Roman"/>
          <w:szCs w:val="24"/>
          <w:lang w:val="es-BO"/>
        </w:rPr>
        <w:t xml:space="preserve"> π</w:t>
      </w:r>
      <w:r w:rsidRPr="00FD1DC0">
        <w:rPr>
          <w:rFonts w:ascii="Times New Roman" w:hAnsi="Times New Roman" w:cs="Times New Roman"/>
          <w:szCs w:val="24"/>
          <w:vertAlign w:val="subscript"/>
          <w:lang w:val="es-BO"/>
        </w:rPr>
        <w:t>r</w:t>
      </w:r>
      <w:r w:rsidRPr="00FD1DC0">
        <w:rPr>
          <w:rFonts w:ascii="Times New Roman" w:hAnsi="Times New Roman" w:cs="Times New Roman"/>
          <w:szCs w:val="24"/>
          <w:lang w:val="es-BO"/>
        </w:rPr>
        <w:t xml:space="preserve"> + </w:t>
      </w:r>
      <w:r w:rsidR="00F600F5" w:rsidRPr="00FD1DC0">
        <w:rPr>
          <w:rFonts w:ascii="Times New Roman" w:hAnsi="Times New Roman" w:cs="Times New Roman"/>
          <w:szCs w:val="24"/>
          <w:lang w:val="es-BO"/>
        </w:rPr>
        <w:t>ψ</w:t>
      </w:r>
      <w:r w:rsidRPr="00FD1DC0">
        <w:rPr>
          <w:rFonts w:ascii="Times New Roman" w:hAnsi="Times New Roman" w:cs="Times New Roman"/>
          <w:szCs w:val="24"/>
          <w:vertAlign w:val="subscript"/>
          <w:lang w:val="es-BO"/>
        </w:rPr>
        <w:t>y</w:t>
      </w:r>
      <w:r w:rsidRPr="00FD1DC0">
        <w:rPr>
          <w:rFonts w:ascii="Times New Roman" w:hAnsi="Times New Roman" w:cs="Times New Roman"/>
          <w:szCs w:val="24"/>
          <w:lang w:val="es-BO"/>
        </w:rPr>
        <w:t xml:space="preserve"> y</w:t>
      </w:r>
      <w:r w:rsidRPr="00FD1DC0">
        <w:rPr>
          <w:rFonts w:ascii="Times New Roman" w:hAnsi="Times New Roman" w:cs="Times New Roman"/>
          <w:szCs w:val="24"/>
          <w:vertAlign w:val="subscript"/>
          <w:lang w:val="es-BO"/>
        </w:rPr>
        <w:t>r</w:t>
      </w:r>
      <w:r w:rsidRPr="00FD1DC0">
        <w:rPr>
          <w:rFonts w:ascii="Times New Roman" w:hAnsi="Times New Roman" w:cs="Times New Roman"/>
          <w:szCs w:val="24"/>
          <w:lang w:val="es-BO"/>
        </w:rPr>
        <w:t xml:space="preserve"> </w:t>
      </w:r>
      <w:r w:rsidR="009C24C1"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 xml:space="preserve">        </w:t>
      </w:r>
      <w:r w:rsidR="003F28F0" w:rsidRPr="00FD1DC0">
        <w:rPr>
          <w:rFonts w:ascii="Times New Roman" w:hAnsi="Times New Roman" w:cs="Times New Roman"/>
          <w:szCs w:val="24"/>
          <w:lang w:val="es-BO"/>
        </w:rPr>
        <w:t xml:space="preserve">Regla de Taylor      </w:t>
      </w:r>
      <w:r w:rsidR="00090797" w:rsidRPr="00FD1DC0">
        <w:rPr>
          <w:rFonts w:ascii="Times New Roman" w:hAnsi="Times New Roman" w:cs="Times New Roman"/>
          <w:szCs w:val="24"/>
          <w:lang w:val="es-BO"/>
        </w:rPr>
        <w:t xml:space="preserve"> </w:t>
      </w:r>
      <w:r w:rsidR="003F28F0" w:rsidRPr="00FD1DC0">
        <w:rPr>
          <w:rFonts w:ascii="Times New Roman" w:hAnsi="Times New Roman" w:cs="Times New Roman"/>
          <w:szCs w:val="24"/>
          <w:lang w:val="es-BO"/>
        </w:rPr>
        <w:t xml:space="preserve"> (1.3</w:t>
      </w:r>
      <w:r w:rsidR="009C24C1" w:rsidRPr="00FD1DC0">
        <w:rPr>
          <w:rFonts w:ascii="Times New Roman" w:hAnsi="Times New Roman" w:cs="Times New Roman"/>
          <w:szCs w:val="24"/>
          <w:lang w:val="es-BO"/>
        </w:rPr>
        <w:t xml:space="preserve">)     </w:t>
      </w:r>
    </w:p>
    <w:p w14:paraId="41113BA3" w14:textId="77777777" w:rsidR="009C24C1" w:rsidRPr="00FD1DC0" w:rsidRDefault="009C24C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 xml:space="preserve">Donde:  </w:t>
      </w:r>
    </w:p>
    <w:p w14:paraId="4D29B17C" w14:textId="640F02FD" w:rsidR="009C24C1" w:rsidRPr="00FD1DC0" w:rsidRDefault="00BE5C85"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y</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es la demanda agregada o el nivel de ingreso observado en el periodo t.</w:t>
      </w:r>
    </w:p>
    <w:p w14:paraId="2EF28372" w14:textId="75557B32"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r: es la tasa de interés real.</w:t>
      </w:r>
    </w:p>
    <w:p w14:paraId="6B6418FC" w14:textId="2862C80E" w:rsidR="00BE2C82" w:rsidRPr="00FD1DC0" w:rsidRDefault="003F419C"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η</w:t>
      </w:r>
      <w:r w:rsidR="00BE2C82" w:rsidRPr="00FD1DC0">
        <w:rPr>
          <w:rFonts w:ascii="Times New Roman" w:hAnsi="Times New Roman" w:cs="Times New Roman"/>
          <w:szCs w:val="24"/>
          <w:vertAlign w:val="subscript"/>
          <w:lang w:val="es-BO"/>
        </w:rPr>
        <w:t>0</w:t>
      </w:r>
      <w:r w:rsidR="00BE2C82" w:rsidRPr="00FD1DC0">
        <w:rPr>
          <w:rFonts w:ascii="Times New Roman" w:hAnsi="Times New Roman" w:cs="Times New Roman"/>
          <w:szCs w:val="24"/>
          <w:lang w:val="es-BO"/>
        </w:rPr>
        <w:t>: es el componente autónomo de la demanda agregada (que no depende del ingreso).</w:t>
      </w:r>
    </w:p>
    <w:p w14:paraId="2899435C" w14:textId="5C8D149E"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y</w:t>
      </w:r>
      <w:r w:rsidRPr="00FD1DC0">
        <w:rPr>
          <w:rFonts w:ascii="Times New Roman" w:hAnsi="Times New Roman" w:cs="Times New Roman"/>
          <w:szCs w:val="24"/>
          <w:vertAlign w:val="subscript"/>
          <w:lang w:val="es-BO"/>
        </w:rPr>
        <w:t>n</w:t>
      </w:r>
      <w:r w:rsidRPr="00FD1DC0">
        <w:rPr>
          <w:rFonts w:ascii="Times New Roman" w:hAnsi="Times New Roman" w:cs="Times New Roman"/>
          <w:szCs w:val="24"/>
          <w:lang w:val="es-BO"/>
        </w:rPr>
        <w:t>: es el nivel de ingreso obtenido o deseado (de equilibrio o “natural”).</w:t>
      </w:r>
    </w:p>
    <w:p w14:paraId="75D072CA" w14:textId="1A75E81B"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π</w:t>
      </w:r>
      <w:r w:rsidRPr="00FD1DC0">
        <w:rPr>
          <w:rFonts w:ascii="Times New Roman" w:hAnsi="Times New Roman" w:cs="Times New Roman"/>
          <w:szCs w:val="24"/>
          <w:vertAlign w:val="subscript"/>
          <w:lang w:val="es-BO"/>
        </w:rPr>
        <w:t>t</w:t>
      </w:r>
      <w:r w:rsidR="009C24C1" w:rsidRPr="00FD1DC0">
        <w:rPr>
          <w:rFonts w:ascii="Times New Roman" w:hAnsi="Times New Roman" w:cs="Times New Roman"/>
          <w:szCs w:val="24"/>
          <w:lang w:val="es-BO"/>
        </w:rPr>
        <w:t>: es</w:t>
      </w:r>
      <w:r w:rsidRPr="00FD1DC0">
        <w:rPr>
          <w:rFonts w:ascii="Times New Roman" w:hAnsi="Times New Roman" w:cs="Times New Roman"/>
          <w:szCs w:val="24"/>
          <w:lang w:val="es-BO"/>
        </w:rPr>
        <w:t xml:space="preserve"> la tasa de inflación observada.</w:t>
      </w:r>
    </w:p>
    <w:p w14:paraId="385600D7" w14:textId="7AC9CB78"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π</w:t>
      </w:r>
      <w:r w:rsidRPr="00FD1DC0">
        <w:rPr>
          <w:rFonts w:ascii="Times New Roman" w:hAnsi="Times New Roman" w:cs="Times New Roman"/>
          <w:szCs w:val="24"/>
          <w:vertAlign w:val="subscript"/>
          <w:lang w:val="es-BO"/>
        </w:rPr>
        <w:t>t-1</w:t>
      </w:r>
      <w:r w:rsidRPr="00FD1DC0">
        <w:rPr>
          <w:rFonts w:ascii="Times New Roman" w:hAnsi="Times New Roman" w:cs="Times New Roman"/>
          <w:szCs w:val="24"/>
          <w:lang w:val="es-BO"/>
        </w:rPr>
        <w:t>: es la tasa de inflación observada desfasada en un periodo.</w:t>
      </w:r>
    </w:p>
    <w:p w14:paraId="2A8FAD29" w14:textId="4B85FF57"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y</w:t>
      </w:r>
      <w:r w:rsidRPr="00FD1DC0">
        <w:rPr>
          <w:rFonts w:ascii="Times New Roman" w:hAnsi="Times New Roman" w:cs="Times New Roman"/>
          <w:szCs w:val="24"/>
          <w:vertAlign w:val="subscript"/>
          <w:lang w:val="es-BO"/>
        </w:rPr>
        <w:t>r</w:t>
      </w:r>
      <w:r w:rsidRPr="00FD1DC0">
        <w:rPr>
          <w:rFonts w:ascii="Times New Roman" w:hAnsi="Times New Roman" w:cs="Times New Roman"/>
          <w:szCs w:val="24"/>
          <w:lang w:val="es-BO"/>
        </w:rPr>
        <w:t>= y – y</w:t>
      </w:r>
      <w:r w:rsidRPr="00FD1DC0">
        <w:rPr>
          <w:rFonts w:ascii="Times New Roman" w:hAnsi="Times New Roman" w:cs="Times New Roman"/>
          <w:szCs w:val="24"/>
          <w:vertAlign w:val="subscript"/>
          <w:lang w:val="es-BO"/>
        </w:rPr>
        <w:t xml:space="preserve">n </w:t>
      </w:r>
      <w:r w:rsidRPr="00FD1DC0">
        <w:rPr>
          <w:rFonts w:ascii="Times New Roman" w:hAnsi="Times New Roman" w:cs="Times New Roman"/>
          <w:szCs w:val="24"/>
          <w:lang w:val="es-BO"/>
        </w:rPr>
        <w:t>: es la brecha del producto.</w:t>
      </w:r>
    </w:p>
    <w:p w14:paraId="35139DA0" w14:textId="26D0E9DF" w:rsidR="00BE2C82" w:rsidRPr="00FD1DC0" w:rsidRDefault="00BE2C82"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π</w:t>
      </w:r>
      <w:r w:rsidRPr="00FD1DC0">
        <w:rPr>
          <w:rFonts w:ascii="Times New Roman" w:hAnsi="Times New Roman" w:cs="Times New Roman"/>
          <w:szCs w:val="24"/>
          <w:vertAlign w:val="subscript"/>
          <w:lang w:val="es-BO"/>
        </w:rPr>
        <w:t>r</w:t>
      </w:r>
      <w:r w:rsidRPr="00FD1DC0">
        <w:rPr>
          <w:rFonts w:ascii="Times New Roman" w:hAnsi="Times New Roman" w:cs="Times New Roman"/>
          <w:szCs w:val="24"/>
          <w:lang w:val="es-BO"/>
        </w:rPr>
        <w:t>= π – π</w:t>
      </w:r>
      <w:r w:rsidRPr="00FD1DC0">
        <w:rPr>
          <w:rFonts w:ascii="Times New Roman" w:hAnsi="Times New Roman" w:cs="Times New Roman"/>
          <w:szCs w:val="24"/>
          <w:vertAlign w:val="subscript"/>
          <w:lang w:val="es-BO"/>
        </w:rPr>
        <w:t xml:space="preserve">n </w:t>
      </w:r>
      <w:r w:rsidRPr="00FD1DC0">
        <w:rPr>
          <w:rFonts w:ascii="Times New Roman" w:hAnsi="Times New Roman" w:cs="Times New Roman"/>
          <w:szCs w:val="24"/>
          <w:lang w:val="es-BO"/>
        </w:rPr>
        <w:t>: es la brecha de la inflación, donde π</w:t>
      </w:r>
      <w:r w:rsidRPr="00FD1DC0">
        <w:rPr>
          <w:rFonts w:ascii="Times New Roman" w:hAnsi="Times New Roman" w:cs="Times New Roman"/>
          <w:szCs w:val="24"/>
          <w:vertAlign w:val="subscript"/>
          <w:lang w:val="es-BO"/>
        </w:rPr>
        <w:t>n</w:t>
      </w:r>
      <w:r w:rsidRPr="00FD1DC0">
        <w:rPr>
          <w:rFonts w:ascii="Times New Roman" w:hAnsi="Times New Roman" w:cs="Times New Roman"/>
          <w:szCs w:val="24"/>
          <w:lang w:val="es-BO"/>
        </w:rPr>
        <w:t xml:space="preserve"> es el objetivo de inflación deseado.</w:t>
      </w:r>
    </w:p>
    <w:p w14:paraId="0AA7988A" w14:textId="3B6593DB" w:rsidR="009C24C1" w:rsidRPr="00FD1DC0" w:rsidRDefault="009267B8" w:rsidP="008D25A4">
      <w:pPr>
        <w:spacing w:after="0" w:line="360" w:lineRule="auto"/>
        <w:ind w:left="0" w:firstLine="0"/>
        <w:rPr>
          <w:rFonts w:ascii="Times New Roman" w:hAnsi="Times New Roman" w:cs="Times New Roman"/>
          <w:szCs w:val="24"/>
          <w:lang w:val="es-BO"/>
        </w:rPr>
      </w:pPr>
      <w:r w:rsidRPr="00FD1DC0">
        <w:rPr>
          <w:rFonts w:ascii="Times New Roman" w:hAnsi="Times New Roman" w:cs="Times New Roman"/>
          <w:szCs w:val="24"/>
          <w:lang w:val="es-BO"/>
        </w:rPr>
        <w:t>r</w:t>
      </w:r>
      <w:r w:rsidR="009C24C1" w:rsidRPr="00FD1DC0">
        <w:rPr>
          <w:rFonts w:ascii="Times New Roman" w:hAnsi="Times New Roman" w:cs="Times New Roman"/>
          <w:szCs w:val="24"/>
          <w:lang w:val="es-BO"/>
        </w:rPr>
        <w:t>*: es</w:t>
      </w:r>
      <w:r w:rsidRPr="00FD1DC0">
        <w:rPr>
          <w:rFonts w:ascii="Times New Roman" w:hAnsi="Times New Roman" w:cs="Times New Roman"/>
          <w:szCs w:val="24"/>
          <w:lang w:val="es-BO"/>
        </w:rPr>
        <w:t xml:space="preserve"> la tasa natural de interés, </w:t>
      </w:r>
      <w:r w:rsidR="00A319FB" w:rsidRPr="00FD1DC0">
        <w:rPr>
          <w:rFonts w:ascii="Times New Roman" w:hAnsi="Times New Roman" w:cs="Times New Roman"/>
          <w:szCs w:val="24"/>
          <w:lang w:val="es-BO"/>
        </w:rPr>
        <w:t>ξ</w:t>
      </w:r>
      <w:r w:rsidRPr="00FD1DC0">
        <w:rPr>
          <w:rFonts w:ascii="Times New Roman" w:hAnsi="Times New Roman" w:cs="Times New Roman"/>
          <w:szCs w:val="24"/>
          <w:vertAlign w:val="subscript"/>
          <w:lang w:val="es-BO"/>
        </w:rPr>
        <w:t>1</w:t>
      </w:r>
      <w:r w:rsidRPr="00FD1DC0">
        <w:rPr>
          <w:rFonts w:ascii="Times New Roman" w:hAnsi="Times New Roman" w:cs="Times New Roman"/>
          <w:szCs w:val="24"/>
          <w:lang w:val="es-BO"/>
        </w:rPr>
        <w:t xml:space="preserve"> y </w:t>
      </w:r>
      <w:r w:rsidR="00A319FB" w:rsidRPr="00FD1DC0">
        <w:rPr>
          <w:rFonts w:ascii="Times New Roman" w:hAnsi="Times New Roman" w:cs="Times New Roman"/>
          <w:szCs w:val="24"/>
          <w:lang w:val="es-BO"/>
        </w:rPr>
        <w:t>ξ</w:t>
      </w:r>
      <w:r w:rsidRPr="00FD1DC0">
        <w:rPr>
          <w:rFonts w:ascii="Times New Roman" w:hAnsi="Times New Roman" w:cs="Times New Roman"/>
          <w:szCs w:val="24"/>
          <w:vertAlign w:val="subscript"/>
          <w:lang w:val="es-BO"/>
        </w:rPr>
        <w:t>2</w:t>
      </w:r>
      <w:r w:rsidRPr="00FD1DC0">
        <w:rPr>
          <w:rFonts w:ascii="Times New Roman" w:hAnsi="Times New Roman" w:cs="Times New Roman"/>
          <w:szCs w:val="24"/>
          <w:lang w:val="es-BO"/>
        </w:rPr>
        <w:t xml:space="preserve"> s</w:t>
      </w:r>
      <w:r w:rsidR="00E475CD" w:rsidRPr="00FD1DC0">
        <w:rPr>
          <w:rFonts w:ascii="Times New Roman" w:hAnsi="Times New Roman" w:cs="Times New Roman"/>
          <w:szCs w:val="24"/>
          <w:lang w:val="es-BO"/>
        </w:rPr>
        <w:t>on los términos de perturbación que a su vez para una buena especificación se acepta que cumple con las propiedades de esfericidad de los términos de error, así como los supuestos de ruido blanco.</w:t>
      </w:r>
    </w:p>
    <w:p w14:paraId="6CFC7192" w14:textId="39D338FB" w:rsidR="00941CE1" w:rsidRPr="00FD1DC0" w:rsidRDefault="003F28F0"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En el si</w:t>
      </w:r>
      <w:r w:rsidR="001663F9" w:rsidRPr="00FD1DC0">
        <w:rPr>
          <w:rFonts w:ascii="Times New Roman" w:hAnsi="Times New Roman" w:cs="Times New Roman"/>
          <w:szCs w:val="24"/>
          <w:lang w:val="es-BO"/>
        </w:rPr>
        <w:t>stema de ecuaciones simultaneas</w:t>
      </w:r>
      <w:r w:rsidR="00E475CD" w:rsidRPr="00FD1DC0">
        <w:rPr>
          <w:rFonts w:ascii="Times New Roman" w:hAnsi="Times New Roman" w:cs="Times New Roman"/>
          <w:szCs w:val="24"/>
          <w:lang w:val="es-BO"/>
        </w:rPr>
        <w:t>, en donde cada una de las relaciones funcionales representa ecuaciones de comportamiento</w:t>
      </w:r>
      <w:r w:rsidRPr="00FD1DC0">
        <w:rPr>
          <w:rFonts w:ascii="Times New Roman" w:hAnsi="Times New Roman" w:cs="Times New Roman"/>
          <w:szCs w:val="24"/>
          <w:lang w:val="es-BO"/>
        </w:rPr>
        <w:t>, l</w:t>
      </w:r>
      <w:r w:rsidR="000F2D27" w:rsidRPr="00FD1DC0">
        <w:rPr>
          <w:rFonts w:ascii="Times New Roman" w:hAnsi="Times New Roman" w:cs="Times New Roman"/>
          <w:szCs w:val="24"/>
          <w:lang w:val="es-BO"/>
        </w:rPr>
        <w:t>a Curva de Phillips CP</w:t>
      </w:r>
      <w:r w:rsidR="00D82931" w:rsidRPr="00FD1DC0">
        <w:rPr>
          <w:rFonts w:ascii="Times New Roman" w:hAnsi="Times New Roman" w:cs="Times New Roman"/>
          <w:szCs w:val="24"/>
          <w:lang w:val="es-BO"/>
        </w:rPr>
        <w:t xml:space="preserve"> </w:t>
      </w:r>
      <w:r w:rsidR="00E475CD" w:rsidRPr="00FD1DC0">
        <w:rPr>
          <w:rFonts w:ascii="Times New Roman" w:hAnsi="Times New Roman" w:cs="Times New Roman"/>
          <w:szCs w:val="24"/>
          <w:lang w:val="es-BO"/>
        </w:rPr>
        <w:t xml:space="preserve">nos </w:t>
      </w:r>
      <w:r w:rsidR="00D82931" w:rsidRPr="00FD1DC0">
        <w:rPr>
          <w:rFonts w:ascii="Times New Roman" w:hAnsi="Times New Roman" w:cs="Times New Roman"/>
          <w:szCs w:val="24"/>
          <w:lang w:val="es-BO"/>
        </w:rPr>
        <w:t>da a conocer</w:t>
      </w:r>
      <w:r w:rsidR="007C76D0" w:rsidRPr="00FD1DC0">
        <w:rPr>
          <w:rFonts w:ascii="Times New Roman" w:hAnsi="Times New Roman" w:cs="Times New Roman"/>
          <w:szCs w:val="24"/>
          <w:lang w:val="es-BO"/>
        </w:rPr>
        <w:t xml:space="preserve"> </w:t>
      </w:r>
      <w:r w:rsidR="00D82931" w:rsidRPr="00FD1DC0">
        <w:rPr>
          <w:rFonts w:ascii="Times New Roman" w:hAnsi="Times New Roman" w:cs="Times New Roman"/>
          <w:szCs w:val="24"/>
          <w:lang w:val="es-BO"/>
        </w:rPr>
        <w:t>el impacto</w:t>
      </w:r>
      <w:r w:rsidR="007C76D0" w:rsidRPr="00FD1DC0">
        <w:rPr>
          <w:rFonts w:ascii="Times New Roman" w:hAnsi="Times New Roman" w:cs="Times New Roman"/>
          <w:szCs w:val="24"/>
          <w:lang w:val="es-BO"/>
        </w:rPr>
        <w:t xml:space="preserve"> de las expectativas </w:t>
      </w:r>
      <w:r w:rsidRPr="00FD1DC0">
        <w:rPr>
          <w:rFonts w:ascii="Times New Roman" w:hAnsi="Times New Roman" w:cs="Times New Roman"/>
          <w:szCs w:val="24"/>
          <w:lang w:val="es-BO"/>
        </w:rPr>
        <w:t xml:space="preserve">de los agentes económicos sobre la tasa de </w:t>
      </w:r>
      <w:r w:rsidR="007C76D0" w:rsidRPr="00FD1DC0">
        <w:rPr>
          <w:rFonts w:ascii="Times New Roman" w:hAnsi="Times New Roman" w:cs="Times New Roman"/>
          <w:szCs w:val="24"/>
          <w:lang w:val="es-BO"/>
        </w:rPr>
        <w:t xml:space="preserve">inflación, </w:t>
      </w:r>
      <w:r w:rsidRPr="00FD1DC0">
        <w:rPr>
          <w:rFonts w:ascii="Times New Roman" w:hAnsi="Times New Roman" w:cs="Times New Roman"/>
          <w:szCs w:val="24"/>
          <w:lang w:val="es-BO"/>
        </w:rPr>
        <w:t>debido a que</w:t>
      </w:r>
      <w:r w:rsidR="007C76D0" w:rsidRPr="00FD1DC0">
        <w:rPr>
          <w:rFonts w:ascii="Times New Roman" w:hAnsi="Times New Roman" w:cs="Times New Roman"/>
          <w:szCs w:val="24"/>
          <w:lang w:val="es-BO"/>
        </w:rPr>
        <w:t xml:space="preserve"> representa una relación de oferta agregada que tiene la forma de esa curva aumentada por expectativas: las expectativas del público con respecto a las fluctuaciones futuras de la brecha de producto </w:t>
      </w:r>
      <w:r w:rsidRPr="00FD1DC0">
        <w:rPr>
          <w:rFonts w:ascii="Times New Roman" w:hAnsi="Times New Roman" w:cs="Times New Roman"/>
          <w:szCs w:val="24"/>
          <w:lang w:val="es-BO"/>
        </w:rPr>
        <w:t>y</w:t>
      </w:r>
      <w:r w:rsidRPr="00FD1DC0">
        <w:rPr>
          <w:rFonts w:ascii="Times New Roman" w:hAnsi="Times New Roman" w:cs="Times New Roman"/>
          <w:szCs w:val="24"/>
          <w:vertAlign w:val="subscript"/>
          <w:lang w:val="es-BO"/>
        </w:rPr>
        <w:t>r</w:t>
      </w:r>
      <w:r w:rsidR="007C76D0" w:rsidRPr="00FD1DC0">
        <w:rPr>
          <w:rFonts w:ascii="Times New Roman" w:hAnsi="Times New Roman" w:cs="Times New Roman"/>
          <w:szCs w:val="24"/>
          <w:lang w:val="es-BO"/>
        </w:rPr>
        <w:t xml:space="preserve"> </w:t>
      </w:r>
      <w:r w:rsidR="00D82931" w:rsidRPr="00FD1DC0">
        <w:rPr>
          <w:rFonts w:ascii="Times New Roman" w:hAnsi="Times New Roman" w:cs="Times New Roman"/>
          <w:szCs w:val="24"/>
          <w:lang w:val="es-BO"/>
        </w:rPr>
        <w:t>tienen impacto</w:t>
      </w:r>
      <w:r w:rsidR="007C76D0" w:rsidRPr="00FD1DC0">
        <w:rPr>
          <w:rFonts w:ascii="Times New Roman" w:hAnsi="Times New Roman" w:cs="Times New Roman"/>
          <w:szCs w:val="24"/>
          <w:lang w:val="es-BO"/>
        </w:rPr>
        <w:t xml:space="preserve"> y desplazan</w:t>
      </w:r>
      <w:r w:rsidR="00FC66C2" w:rsidRPr="00FD1DC0">
        <w:rPr>
          <w:rFonts w:ascii="Times New Roman" w:hAnsi="Times New Roman" w:cs="Times New Roman"/>
          <w:szCs w:val="24"/>
          <w:lang w:val="es-BO"/>
        </w:rPr>
        <w:t xml:space="preserve"> la p</w:t>
      </w:r>
      <w:r w:rsidR="00CC54CC" w:rsidRPr="00FD1DC0">
        <w:rPr>
          <w:rFonts w:ascii="Times New Roman" w:hAnsi="Times New Roman" w:cs="Times New Roman"/>
          <w:szCs w:val="24"/>
          <w:lang w:val="es-BO"/>
        </w:rPr>
        <w:t xml:space="preserve">osición de la CP. En esa </w:t>
      </w:r>
      <w:r w:rsidR="00D75064" w:rsidRPr="00FD1DC0">
        <w:rPr>
          <w:rFonts w:ascii="Times New Roman" w:hAnsi="Times New Roman" w:cs="Times New Roman"/>
          <w:szCs w:val="24"/>
          <w:lang w:val="es-BO"/>
        </w:rPr>
        <w:t>línea</w:t>
      </w:r>
      <w:r w:rsidR="00FC66C2" w:rsidRPr="00FD1DC0">
        <w:rPr>
          <w:rFonts w:ascii="Times New Roman" w:hAnsi="Times New Roman" w:cs="Times New Roman"/>
          <w:szCs w:val="24"/>
          <w:lang w:val="es-BO"/>
        </w:rPr>
        <w:t>, en la ecuación CP</w:t>
      </w:r>
      <w:r w:rsidR="007C76D0" w:rsidRPr="00FD1DC0">
        <w:rPr>
          <w:rFonts w:ascii="Times New Roman" w:hAnsi="Times New Roman" w:cs="Times New Roman"/>
          <w:szCs w:val="24"/>
          <w:lang w:val="es-BO"/>
        </w:rPr>
        <w:t xml:space="preserve"> </w:t>
      </w:r>
      <w:r w:rsidR="00FC66C2" w:rsidRPr="00FD1DC0">
        <w:rPr>
          <w:rFonts w:ascii="Times New Roman" w:hAnsi="Times New Roman" w:cs="Times New Roman"/>
          <w:szCs w:val="24"/>
          <w:lang w:val="es-BO"/>
        </w:rPr>
        <w:t>y</w:t>
      </w:r>
      <w:r w:rsidR="00FC66C2" w:rsidRPr="00FD1DC0">
        <w:rPr>
          <w:rFonts w:ascii="Times New Roman" w:hAnsi="Times New Roman" w:cs="Times New Roman"/>
          <w:szCs w:val="24"/>
          <w:vertAlign w:val="subscript"/>
          <w:lang w:val="es-BO"/>
        </w:rPr>
        <w:t>r</w:t>
      </w:r>
      <w:r w:rsidR="00CC54CC" w:rsidRPr="00FD1DC0">
        <w:rPr>
          <w:rFonts w:ascii="Times New Roman" w:hAnsi="Times New Roman" w:cs="Times New Roman"/>
          <w:szCs w:val="24"/>
          <w:lang w:val="es-BO"/>
        </w:rPr>
        <w:t xml:space="preserve"> se asocia</w:t>
      </w:r>
      <w:r w:rsidR="007C76D0" w:rsidRPr="00FD1DC0">
        <w:rPr>
          <w:rFonts w:ascii="Times New Roman" w:hAnsi="Times New Roman" w:cs="Times New Roman"/>
          <w:szCs w:val="24"/>
          <w:lang w:val="es-BO"/>
        </w:rPr>
        <w:t xml:space="preserve"> con la dinámica de la </w:t>
      </w:r>
      <w:r w:rsidR="00FC66C2" w:rsidRPr="00FD1DC0">
        <w:rPr>
          <w:rFonts w:ascii="Times New Roman" w:hAnsi="Times New Roman" w:cs="Times New Roman"/>
          <w:szCs w:val="24"/>
          <w:lang w:val="es-BO"/>
        </w:rPr>
        <w:t>tasa de inflación, motivo</w:t>
      </w:r>
      <w:r w:rsidR="007C76D0" w:rsidRPr="00FD1DC0">
        <w:rPr>
          <w:rFonts w:ascii="Times New Roman" w:hAnsi="Times New Roman" w:cs="Times New Roman"/>
          <w:szCs w:val="24"/>
          <w:lang w:val="es-BO"/>
        </w:rPr>
        <w:t xml:space="preserve"> por la cual en la regla de Taylor la tasa de interés óptima y los objetivos de inflación óptimos </w:t>
      </w:r>
      <w:r w:rsidR="00FC66C2" w:rsidRPr="00FD1DC0">
        <w:rPr>
          <w:rFonts w:ascii="Times New Roman" w:hAnsi="Times New Roman" w:cs="Times New Roman"/>
          <w:szCs w:val="24"/>
          <w:lang w:val="es-BO"/>
        </w:rPr>
        <w:t>se ajustan de acuerdo con la</w:t>
      </w:r>
      <w:r w:rsidR="007C76D0" w:rsidRPr="00FD1DC0">
        <w:rPr>
          <w:rFonts w:ascii="Times New Roman" w:hAnsi="Times New Roman" w:cs="Times New Roman"/>
          <w:szCs w:val="24"/>
          <w:lang w:val="es-BO"/>
        </w:rPr>
        <w:t xml:space="preserve"> </w:t>
      </w:r>
      <w:r w:rsidR="00FC66C2" w:rsidRPr="00FD1DC0">
        <w:rPr>
          <w:rFonts w:ascii="Times New Roman" w:hAnsi="Times New Roman" w:cs="Times New Roman"/>
          <w:szCs w:val="24"/>
          <w:lang w:val="es-BO"/>
        </w:rPr>
        <w:t>y</w:t>
      </w:r>
      <w:r w:rsidR="00FC66C2" w:rsidRPr="00FD1DC0">
        <w:rPr>
          <w:rFonts w:ascii="Times New Roman" w:hAnsi="Times New Roman" w:cs="Times New Roman"/>
          <w:szCs w:val="24"/>
          <w:vertAlign w:val="subscript"/>
          <w:lang w:val="es-BO"/>
        </w:rPr>
        <w:t>r</w:t>
      </w:r>
      <w:r w:rsidR="007C76D0" w:rsidRPr="00FD1DC0">
        <w:rPr>
          <w:rFonts w:ascii="Times New Roman" w:hAnsi="Times New Roman" w:cs="Times New Roman"/>
          <w:szCs w:val="24"/>
          <w:lang w:val="es-BO"/>
        </w:rPr>
        <w:t xml:space="preserve"> esperada: la política monet</w:t>
      </w:r>
      <w:r w:rsidR="00D82931" w:rsidRPr="00FD1DC0">
        <w:rPr>
          <w:rFonts w:ascii="Times New Roman" w:hAnsi="Times New Roman" w:cs="Times New Roman"/>
          <w:szCs w:val="24"/>
          <w:lang w:val="es-BO"/>
        </w:rPr>
        <w:t>aria trata de</w:t>
      </w:r>
      <w:r w:rsidR="007C76D0" w:rsidRPr="00FD1DC0">
        <w:rPr>
          <w:rFonts w:ascii="Times New Roman" w:hAnsi="Times New Roman" w:cs="Times New Roman"/>
          <w:szCs w:val="24"/>
          <w:lang w:val="es-BO"/>
        </w:rPr>
        <w:t xml:space="preserve"> estabilizar </w:t>
      </w:r>
      <w:r w:rsidR="00FC66C2" w:rsidRPr="00FD1DC0">
        <w:rPr>
          <w:rFonts w:ascii="Times New Roman" w:hAnsi="Times New Roman" w:cs="Times New Roman"/>
          <w:szCs w:val="24"/>
          <w:lang w:val="es-BO"/>
        </w:rPr>
        <w:t>y</w:t>
      </w:r>
      <w:r w:rsidR="00FC66C2" w:rsidRPr="00FD1DC0">
        <w:rPr>
          <w:rFonts w:ascii="Times New Roman" w:hAnsi="Times New Roman" w:cs="Times New Roman"/>
          <w:szCs w:val="24"/>
          <w:vertAlign w:val="subscript"/>
          <w:lang w:val="es-BO"/>
        </w:rPr>
        <w:t>r</w:t>
      </w:r>
      <w:r w:rsidR="007C76D0" w:rsidRPr="00FD1DC0">
        <w:rPr>
          <w:rFonts w:ascii="Times New Roman" w:hAnsi="Times New Roman" w:cs="Times New Roman"/>
          <w:szCs w:val="24"/>
          <w:lang w:val="es-BO"/>
        </w:rPr>
        <w:t xml:space="preserve"> con </w:t>
      </w:r>
      <w:r w:rsidR="00FC66C2" w:rsidRPr="00FD1DC0">
        <w:rPr>
          <w:rFonts w:ascii="Times New Roman" w:hAnsi="Times New Roman" w:cs="Times New Roman"/>
          <w:szCs w:val="24"/>
          <w:lang w:val="es-BO"/>
        </w:rPr>
        <w:t>el objetivo</w:t>
      </w:r>
      <w:r w:rsidR="00941CE1" w:rsidRPr="00FD1DC0">
        <w:rPr>
          <w:rFonts w:ascii="Times New Roman" w:hAnsi="Times New Roman" w:cs="Times New Roman"/>
          <w:szCs w:val="24"/>
          <w:lang w:val="es-BO"/>
        </w:rPr>
        <w:t xml:space="preserve"> de maximizar el ingreso.</w:t>
      </w:r>
      <w:r w:rsidR="00FC66C2" w:rsidRPr="00FD1DC0">
        <w:rPr>
          <w:rFonts w:ascii="Times New Roman" w:hAnsi="Times New Roman" w:cs="Times New Roman"/>
          <w:szCs w:val="24"/>
          <w:lang w:val="es-BO"/>
        </w:rPr>
        <w:t xml:space="preserve"> Así, la oferta agregada </w:t>
      </w:r>
      <w:r w:rsidR="00D82931" w:rsidRPr="00FD1DC0">
        <w:rPr>
          <w:rFonts w:ascii="Times New Roman" w:hAnsi="Times New Roman" w:cs="Times New Roman"/>
          <w:szCs w:val="24"/>
          <w:lang w:val="es-BO"/>
        </w:rPr>
        <w:t>está</w:t>
      </w:r>
      <w:r w:rsidR="00FC66C2" w:rsidRPr="00FD1DC0">
        <w:rPr>
          <w:rFonts w:ascii="Times New Roman" w:hAnsi="Times New Roman" w:cs="Times New Roman"/>
          <w:szCs w:val="24"/>
          <w:lang w:val="es-BO"/>
        </w:rPr>
        <w:t xml:space="preserve"> en función</w:t>
      </w:r>
      <w:r w:rsidR="00941CE1" w:rsidRPr="00FD1DC0">
        <w:rPr>
          <w:rFonts w:ascii="Times New Roman" w:hAnsi="Times New Roman" w:cs="Times New Roman"/>
          <w:szCs w:val="24"/>
          <w:lang w:val="es-BO"/>
        </w:rPr>
        <w:t xml:space="preserve"> de las expectativas de inflación (Sargent y Wallace, 1975; Woodford, 2003), </w:t>
      </w:r>
      <w:r w:rsidR="00FC66C2" w:rsidRPr="00FD1DC0">
        <w:rPr>
          <w:rFonts w:ascii="Times New Roman" w:hAnsi="Times New Roman" w:cs="Times New Roman"/>
          <w:szCs w:val="24"/>
          <w:lang w:val="es-BO"/>
        </w:rPr>
        <w:t>debido a que en</w:t>
      </w:r>
      <w:r w:rsidR="00941CE1" w:rsidRPr="00FD1DC0">
        <w:rPr>
          <w:rFonts w:ascii="Times New Roman" w:hAnsi="Times New Roman" w:cs="Times New Roman"/>
          <w:szCs w:val="24"/>
          <w:lang w:val="es-BO"/>
        </w:rPr>
        <w:t xml:space="preserve"> esta teoría </w:t>
      </w:r>
      <w:r w:rsidR="00FC66C2" w:rsidRPr="00FD1DC0">
        <w:rPr>
          <w:rFonts w:ascii="Times New Roman" w:hAnsi="Times New Roman" w:cs="Times New Roman"/>
          <w:szCs w:val="24"/>
          <w:lang w:val="es-BO"/>
        </w:rPr>
        <w:t>son un elemento</w:t>
      </w:r>
      <w:r w:rsidR="00355500" w:rsidRPr="00FD1DC0">
        <w:rPr>
          <w:rFonts w:ascii="Times New Roman" w:hAnsi="Times New Roman" w:cs="Times New Roman"/>
          <w:szCs w:val="24"/>
          <w:lang w:val="es-BO"/>
        </w:rPr>
        <w:t xml:space="preserve"> fundamental</w:t>
      </w:r>
      <w:r w:rsidR="00941CE1" w:rsidRPr="00FD1DC0">
        <w:rPr>
          <w:rFonts w:ascii="Times New Roman" w:hAnsi="Times New Roman" w:cs="Times New Roman"/>
          <w:szCs w:val="24"/>
          <w:lang w:val="es-BO"/>
        </w:rPr>
        <w:t xml:space="preserve"> en la relación de equilibrio entre la inflación y la actividad real: si las exp</w:t>
      </w:r>
      <w:r w:rsidR="00D82931" w:rsidRPr="00FD1DC0">
        <w:rPr>
          <w:rFonts w:ascii="Times New Roman" w:hAnsi="Times New Roman" w:cs="Times New Roman"/>
          <w:szCs w:val="24"/>
          <w:lang w:val="es-BO"/>
        </w:rPr>
        <w:t xml:space="preserve">ectativas son racionales se </w:t>
      </w:r>
      <w:r w:rsidR="00CC54CC" w:rsidRPr="00FD1DC0">
        <w:rPr>
          <w:rFonts w:ascii="Times New Roman" w:hAnsi="Times New Roman" w:cs="Times New Roman"/>
          <w:szCs w:val="24"/>
          <w:lang w:val="es-BO"/>
        </w:rPr>
        <w:t xml:space="preserve">acepta </w:t>
      </w:r>
      <w:r w:rsidR="00941CE1" w:rsidRPr="00FD1DC0">
        <w:rPr>
          <w:rFonts w:ascii="Times New Roman" w:hAnsi="Times New Roman" w:cs="Times New Roman"/>
          <w:szCs w:val="24"/>
          <w:lang w:val="es-BO"/>
        </w:rPr>
        <w:t xml:space="preserve">que los precios son óptimos y el dinero </w:t>
      </w:r>
      <w:r w:rsidR="00E475CD" w:rsidRPr="00FD1DC0">
        <w:rPr>
          <w:rFonts w:ascii="Times New Roman" w:hAnsi="Times New Roman" w:cs="Times New Roman"/>
          <w:szCs w:val="24"/>
          <w:lang w:val="es-BO"/>
        </w:rPr>
        <w:t>cumple con el supuesto de neutralidad</w:t>
      </w:r>
      <w:r w:rsidR="00941CE1" w:rsidRPr="00FD1DC0">
        <w:rPr>
          <w:rFonts w:ascii="Times New Roman" w:hAnsi="Times New Roman" w:cs="Times New Roman"/>
          <w:szCs w:val="24"/>
          <w:lang w:val="es-BO"/>
        </w:rPr>
        <w:t xml:space="preserve">, mientras que </w:t>
      </w:r>
      <w:r w:rsidR="00FC66C2" w:rsidRPr="00FD1DC0">
        <w:rPr>
          <w:rFonts w:ascii="Times New Roman" w:hAnsi="Times New Roman" w:cs="Times New Roman"/>
          <w:szCs w:val="24"/>
          <w:lang w:val="es-BO"/>
        </w:rPr>
        <w:t xml:space="preserve">con expectativas adaptativas la </w:t>
      </w:r>
      <w:r w:rsidR="00D82931" w:rsidRPr="00FD1DC0">
        <w:rPr>
          <w:rFonts w:ascii="Times New Roman" w:hAnsi="Times New Roman" w:cs="Times New Roman"/>
          <w:szCs w:val="24"/>
          <w:lang w:val="es-BO"/>
        </w:rPr>
        <w:t>política monetaria óptima</w:t>
      </w:r>
      <w:r w:rsidR="00E475CD" w:rsidRPr="00FD1DC0">
        <w:rPr>
          <w:rFonts w:ascii="Times New Roman" w:hAnsi="Times New Roman" w:cs="Times New Roman"/>
          <w:szCs w:val="24"/>
          <w:lang w:val="es-BO"/>
        </w:rPr>
        <w:t>,</w:t>
      </w:r>
      <w:r w:rsidR="00D82931" w:rsidRPr="00FD1DC0">
        <w:rPr>
          <w:rFonts w:ascii="Times New Roman" w:hAnsi="Times New Roman" w:cs="Times New Roman"/>
          <w:szCs w:val="24"/>
          <w:lang w:val="es-BO"/>
        </w:rPr>
        <w:t xml:space="preserve"> acepta</w:t>
      </w:r>
      <w:r w:rsidR="00FC66C2" w:rsidRPr="00FD1DC0">
        <w:rPr>
          <w:rFonts w:ascii="Times New Roman" w:hAnsi="Times New Roman" w:cs="Times New Roman"/>
          <w:szCs w:val="24"/>
          <w:lang w:val="es-BO"/>
        </w:rPr>
        <w:t xml:space="preserve"> efectos</w:t>
      </w:r>
      <w:r w:rsidR="00941CE1" w:rsidRPr="00FD1DC0">
        <w:rPr>
          <w:rFonts w:ascii="Times New Roman" w:hAnsi="Times New Roman" w:cs="Times New Roman"/>
          <w:szCs w:val="24"/>
          <w:lang w:val="es-BO"/>
        </w:rPr>
        <w:t xml:space="preserve"> reales en el corto plazo.</w:t>
      </w:r>
    </w:p>
    <w:p w14:paraId="20D176B9" w14:textId="19956431" w:rsidR="004F7169" w:rsidRPr="00FD1DC0" w:rsidRDefault="004F7169"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 xml:space="preserve">Para el caso de una economía abierta según </w:t>
      </w:r>
      <w:r w:rsidR="00191D75" w:rsidRPr="00FD1DC0">
        <w:rPr>
          <w:rFonts w:ascii="Times New Roman" w:hAnsi="Times New Roman" w:cs="Times New Roman"/>
          <w:szCs w:val="24"/>
          <w:lang w:val="es-BO"/>
        </w:rPr>
        <w:t xml:space="preserve">(Perrotini, </w:t>
      </w:r>
      <w:r w:rsidRPr="00FD1DC0">
        <w:rPr>
          <w:rFonts w:ascii="Times New Roman" w:hAnsi="Times New Roman" w:cs="Times New Roman"/>
          <w:szCs w:val="24"/>
          <w:lang w:val="es-BO"/>
        </w:rPr>
        <w:t xml:space="preserve">2007), </w:t>
      </w:r>
      <w:r w:rsidR="00B821E7" w:rsidRPr="00FD1DC0">
        <w:rPr>
          <w:rFonts w:ascii="Times New Roman" w:hAnsi="Times New Roman" w:cs="Times New Roman"/>
          <w:szCs w:val="24"/>
          <w:lang w:val="es-BO"/>
        </w:rPr>
        <w:t>se debe</w:t>
      </w:r>
      <w:r w:rsidRPr="00FD1DC0">
        <w:rPr>
          <w:rFonts w:ascii="Times New Roman" w:hAnsi="Times New Roman" w:cs="Times New Roman"/>
          <w:szCs w:val="24"/>
          <w:lang w:val="es-BO"/>
        </w:rPr>
        <w:t xml:space="preserve"> tomar en cuenta una ecuación más que determina al tipo de cambio (e) donde existe una relación directa entre la tasa de interés real y el tipo de cambio:</w:t>
      </w:r>
    </w:p>
    <w:p w14:paraId="2F5AC0C2" w14:textId="55439AEE" w:rsidR="00090797" w:rsidRPr="00FD1DC0" w:rsidRDefault="00DA64FF"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 xml:space="preserve">              </w:t>
      </w:r>
      <w:r w:rsidR="00090797" w:rsidRPr="00FD1DC0">
        <w:rPr>
          <w:rFonts w:ascii="Times New Roman" w:hAnsi="Times New Roman" w:cs="Times New Roman"/>
          <w:szCs w:val="24"/>
          <w:lang w:val="es-BO"/>
        </w:rPr>
        <w:t>e</w:t>
      </w:r>
      <w:r w:rsidR="00090797" w:rsidRPr="00FD1DC0">
        <w:rPr>
          <w:rFonts w:ascii="Times New Roman" w:hAnsi="Times New Roman" w:cs="Times New Roman"/>
          <w:szCs w:val="24"/>
          <w:vertAlign w:val="subscript"/>
          <w:lang w:val="es-BO"/>
        </w:rPr>
        <w:t>t</w:t>
      </w:r>
      <w:r w:rsidR="00090797" w:rsidRPr="00FD1DC0">
        <w:rPr>
          <w:rFonts w:ascii="Times New Roman" w:hAnsi="Times New Roman" w:cs="Times New Roman"/>
          <w:szCs w:val="24"/>
          <w:lang w:val="es-BO"/>
        </w:rPr>
        <w:t xml:space="preserve"> = </w:t>
      </w:r>
      <w:r w:rsidR="00F600F5" w:rsidRPr="00FD1DC0">
        <w:rPr>
          <w:rFonts w:ascii="Times New Roman" w:hAnsi="Times New Roman" w:cs="Times New Roman"/>
          <w:szCs w:val="24"/>
          <w:lang w:val="es-BO"/>
        </w:rPr>
        <w:t>η</w:t>
      </w:r>
      <w:r w:rsidR="00090797" w:rsidRPr="00FD1DC0">
        <w:rPr>
          <w:rFonts w:ascii="Times New Roman" w:hAnsi="Times New Roman" w:cs="Times New Roman"/>
          <w:szCs w:val="24"/>
          <w:lang w:val="es-BO"/>
        </w:rPr>
        <w:t>r</w:t>
      </w:r>
      <w:r w:rsidR="00090797" w:rsidRPr="00FD1DC0">
        <w:rPr>
          <w:rFonts w:ascii="Times New Roman" w:hAnsi="Times New Roman" w:cs="Times New Roman"/>
          <w:szCs w:val="24"/>
          <w:vertAlign w:val="subscript"/>
          <w:lang w:val="es-BO"/>
        </w:rPr>
        <w:t>t</w:t>
      </w:r>
      <w:r w:rsidR="00090797" w:rsidRPr="00FD1DC0">
        <w:rPr>
          <w:rFonts w:ascii="Times New Roman" w:hAnsi="Times New Roman" w:cs="Times New Roman"/>
          <w:szCs w:val="24"/>
          <w:lang w:val="es-BO"/>
        </w:rPr>
        <w:t xml:space="preserve"> + ξ</w:t>
      </w:r>
      <w:r w:rsidR="00090797" w:rsidRPr="00FD1DC0">
        <w:rPr>
          <w:rFonts w:ascii="Times New Roman" w:hAnsi="Times New Roman" w:cs="Times New Roman"/>
          <w:szCs w:val="24"/>
          <w:vertAlign w:val="subscript"/>
          <w:lang w:val="es-BO"/>
        </w:rPr>
        <w:t xml:space="preserve">3, </w:t>
      </w:r>
      <w:r w:rsidR="00090797" w:rsidRPr="00FD1DC0">
        <w:rPr>
          <w:rFonts w:ascii="Times New Roman" w:hAnsi="Times New Roman" w:cs="Times New Roman"/>
          <w:szCs w:val="24"/>
        </w:rPr>
        <w:t>ψ</w:t>
      </w:r>
      <w:r w:rsidR="00090797" w:rsidRPr="00FD1DC0">
        <w:rPr>
          <w:rFonts w:ascii="Times New Roman" w:hAnsi="Times New Roman" w:cs="Times New Roman"/>
          <w:szCs w:val="24"/>
          <w:lang w:val="es-BO"/>
        </w:rPr>
        <w:t xml:space="preserve"> &gt; 0                                     Tipo de Cambio              (1.4)</w:t>
      </w:r>
    </w:p>
    <w:p w14:paraId="497E700F" w14:textId="7C1D4D35" w:rsidR="00B13F49" w:rsidRPr="00FD1DC0" w:rsidRDefault="00B13F49"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rPr>
        <w:t>ψ</w:t>
      </w:r>
      <w:r w:rsidRPr="00FD1DC0">
        <w:rPr>
          <w:rFonts w:ascii="Times New Roman" w:hAnsi="Times New Roman" w:cs="Times New Roman"/>
          <w:szCs w:val="24"/>
          <w:lang w:val="es-BO"/>
        </w:rPr>
        <w:t xml:space="preserve"> es un parámetro pendiente que mide la relación entre el tipo de cambio y la tasa de interés real y ξ</w:t>
      </w:r>
      <w:r w:rsidRPr="00FD1DC0">
        <w:rPr>
          <w:rFonts w:ascii="Times New Roman" w:hAnsi="Times New Roman" w:cs="Times New Roman"/>
          <w:szCs w:val="24"/>
          <w:vertAlign w:val="subscript"/>
          <w:lang w:val="es-BO"/>
        </w:rPr>
        <w:t>3</w:t>
      </w:r>
      <w:r w:rsidRPr="00FD1DC0">
        <w:rPr>
          <w:rFonts w:ascii="Times New Roman" w:hAnsi="Times New Roman" w:cs="Times New Roman"/>
          <w:szCs w:val="24"/>
          <w:lang w:val="es-BO"/>
        </w:rPr>
        <w:t xml:space="preserve"> es un término de perturbación; si </w:t>
      </w:r>
      <w:r w:rsidR="00F600F5" w:rsidRPr="00FD1DC0">
        <w:rPr>
          <w:rFonts w:ascii="Times New Roman" w:hAnsi="Times New Roman" w:cs="Times New Roman"/>
          <w:szCs w:val="24"/>
          <w:lang w:val="es-BO"/>
        </w:rPr>
        <w:t>η</w:t>
      </w:r>
      <w:r w:rsidRPr="00FD1DC0">
        <w:rPr>
          <w:rFonts w:ascii="Times New Roman" w:hAnsi="Times New Roman" w:cs="Times New Roman"/>
          <w:szCs w:val="24"/>
          <w:lang w:val="es-BO"/>
        </w:rPr>
        <w:t xml:space="preserve"> = 1 entonces el tipo de cambio satisface a la llamada condición de paridad d</w:t>
      </w:r>
      <w:r w:rsidR="00DE397C" w:rsidRPr="00FD1DC0">
        <w:rPr>
          <w:rFonts w:ascii="Times New Roman" w:hAnsi="Times New Roman" w:cs="Times New Roman"/>
          <w:szCs w:val="24"/>
          <w:lang w:val="es-BO"/>
        </w:rPr>
        <w:t>e tasas de interés descubierta PTID</w:t>
      </w:r>
      <w:r w:rsidR="00E475CD" w:rsidRPr="00FD1DC0">
        <w:rPr>
          <w:rFonts w:ascii="Times New Roman" w:hAnsi="Times New Roman" w:cs="Times New Roman"/>
          <w:szCs w:val="24"/>
          <w:lang w:val="es-BO"/>
        </w:rPr>
        <w:t xml:space="preserve"> y además se aceptaría que existe una relación equiproporcional entre la tasa de interés y el tipo de cambio</w:t>
      </w:r>
      <w:r w:rsidRPr="00FD1DC0">
        <w:rPr>
          <w:rFonts w:ascii="Times New Roman" w:hAnsi="Times New Roman" w:cs="Times New Roman"/>
          <w:szCs w:val="24"/>
          <w:lang w:val="es-BO"/>
        </w:rPr>
        <w:t>, la paridad entre la tasa de interés nacional (i) y la internacional (i*). Si se toman en cuenta las expectativas de tipo de cambio, la relación entre éste y la PTID es de la siguiente forma:</w:t>
      </w:r>
    </w:p>
    <w:p w14:paraId="0FC0E079" w14:textId="4E851B3C" w:rsidR="007B6FB4" w:rsidRPr="00FD1DC0" w:rsidRDefault="00AE32F4" w:rsidP="008D25A4">
      <w:pPr>
        <w:spacing w:after="0" w:line="360" w:lineRule="auto"/>
        <w:ind w:left="51"/>
        <w:jc w:val="center"/>
        <w:rPr>
          <w:rFonts w:ascii="Times New Roman" w:hAnsi="Times New Roman" w:cs="Times New Roman"/>
          <w:szCs w:val="24"/>
        </w:rPr>
      </w:pPr>
      <w:r w:rsidRPr="00FD1DC0">
        <w:rPr>
          <w:rFonts w:ascii="Times New Roman" w:hAnsi="Times New Roman" w:cs="Times New Roman"/>
          <w:szCs w:val="24"/>
          <w:lang w:val="es-BO"/>
        </w:rPr>
        <w:t xml:space="preserve">           </w:t>
      </w:r>
      <w:r w:rsidR="00325C36"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 xml:space="preserve">            </w:t>
      </w:r>
      <w:r w:rsidR="007B6FB4" w:rsidRPr="00FD1DC0">
        <w:rPr>
          <w:rFonts w:ascii="Times New Roman" w:hAnsi="Times New Roman" w:cs="Times New Roman"/>
          <w:szCs w:val="24"/>
        </w:rPr>
        <w:t>e</w:t>
      </w:r>
      <w:r w:rsidR="007B6FB4" w:rsidRPr="00FD1DC0">
        <w:rPr>
          <w:rFonts w:ascii="Times New Roman" w:hAnsi="Times New Roman" w:cs="Times New Roman"/>
          <w:szCs w:val="24"/>
          <w:vertAlign w:val="subscript"/>
        </w:rPr>
        <w:t>t</w:t>
      </w:r>
      <w:r w:rsidR="007B6FB4" w:rsidRPr="00FD1DC0">
        <w:rPr>
          <w:rFonts w:ascii="Times New Roman" w:hAnsi="Times New Roman" w:cs="Times New Roman"/>
          <w:szCs w:val="24"/>
        </w:rPr>
        <w:t xml:space="preserve"> – E(e</w:t>
      </w:r>
      <w:r w:rsidR="007B6FB4" w:rsidRPr="00FD1DC0">
        <w:rPr>
          <w:rFonts w:ascii="Times New Roman" w:hAnsi="Times New Roman" w:cs="Times New Roman"/>
          <w:szCs w:val="24"/>
          <w:vertAlign w:val="subscript"/>
        </w:rPr>
        <w:t>t+1</w:t>
      </w:r>
      <w:r w:rsidR="007B6FB4" w:rsidRPr="00FD1DC0">
        <w:rPr>
          <w:rFonts w:ascii="Times New Roman" w:hAnsi="Times New Roman" w:cs="Times New Roman"/>
          <w:szCs w:val="24"/>
        </w:rPr>
        <w:t xml:space="preserve">) = it – i* + </w:t>
      </w:r>
      <w:r w:rsidR="007B6FB4" w:rsidRPr="00FD1DC0">
        <w:rPr>
          <w:rFonts w:ascii="Times New Roman" w:hAnsi="Times New Roman" w:cs="Times New Roman"/>
          <w:szCs w:val="24"/>
          <w:lang w:val="es-BO"/>
        </w:rPr>
        <w:t>ԑ</w:t>
      </w:r>
      <w:r w:rsidR="007B6FB4" w:rsidRPr="00FD1DC0">
        <w:rPr>
          <w:rFonts w:ascii="Times New Roman" w:hAnsi="Times New Roman" w:cs="Times New Roman"/>
          <w:szCs w:val="24"/>
          <w:vertAlign w:val="subscript"/>
        </w:rPr>
        <w:t>t</w:t>
      </w:r>
      <w:r w:rsidR="007B6FB4" w:rsidRPr="00FD1DC0">
        <w:rPr>
          <w:rFonts w:ascii="Times New Roman" w:hAnsi="Times New Roman" w:cs="Times New Roman"/>
          <w:szCs w:val="24"/>
        </w:rPr>
        <w:t xml:space="preserve">                 (1.5)</w:t>
      </w:r>
    </w:p>
    <w:p w14:paraId="5171400E" w14:textId="7C35443A" w:rsidR="00CE0233" w:rsidRPr="00FD1DC0" w:rsidRDefault="00D257AB"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Ball</w:t>
      </w:r>
      <w:r w:rsidR="001E39DB"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w:t>
      </w:r>
      <w:r w:rsidR="00CE0233" w:rsidRPr="00FD1DC0">
        <w:rPr>
          <w:rFonts w:ascii="Times New Roman" w:hAnsi="Times New Roman" w:cs="Times New Roman"/>
          <w:szCs w:val="24"/>
          <w:lang w:val="es-BO"/>
        </w:rPr>
        <w:t xml:space="preserve">1999) y </w:t>
      </w:r>
      <w:r w:rsidRPr="00FD1DC0">
        <w:rPr>
          <w:rFonts w:ascii="Times New Roman" w:hAnsi="Times New Roman" w:cs="Times New Roman"/>
          <w:szCs w:val="24"/>
          <w:lang w:val="es-BO"/>
        </w:rPr>
        <w:t>Svensson</w:t>
      </w:r>
      <w:r w:rsidR="001E39DB"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w:t>
      </w:r>
      <w:r w:rsidR="00CE0233" w:rsidRPr="00FD1DC0">
        <w:rPr>
          <w:rFonts w:ascii="Times New Roman" w:hAnsi="Times New Roman" w:cs="Times New Roman"/>
          <w:szCs w:val="24"/>
          <w:lang w:val="es-BO"/>
        </w:rPr>
        <w:t xml:space="preserve">2000), entre otros, afirman que en una economía abierta </w:t>
      </w:r>
      <w:r w:rsidR="004526C9" w:rsidRPr="00FD1DC0">
        <w:rPr>
          <w:rFonts w:ascii="Times New Roman" w:hAnsi="Times New Roman" w:cs="Times New Roman"/>
          <w:szCs w:val="24"/>
          <w:lang w:val="es-BO"/>
        </w:rPr>
        <w:t>q</w:t>
      </w:r>
      <w:r w:rsidR="00CE0233" w:rsidRPr="00FD1DC0">
        <w:rPr>
          <w:rFonts w:ascii="Times New Roman" w:hAnsi="Times New Roman" w:cs="Times New Roman"/>
          <w:szCs w:val="24"/>
          <w:lang w:val="es-BO"/>
        </w:rPr>
        <w:t>ue tiene liberalización financiera la condición PTID se cumple. Sin emba</w:t>
      </w:r>
      <w:r w:rsidR="00355500" w:rsidRPr="00FD1DC0">
        <w:rPr>
          <w:rFonts w:ascii="Times New Roman" w:hAnsi="Times New Roman" w:cs="Times New Roman"/>
          <w:szCs w:val="24"/>
          <w:lang w:val="es-BO"/>
        </w:rPr>
        <w:t>rgo, este supuesto es debatible y se presta a disentir</w:t>
      </w:r>
      <w:r w:rsidR="00CE0233" w:rsidRPr="00FD1DC0">
        <w:rPr>
          <w:rFonts w:ascii="Times New Roman" w:hAnsi="Times New Roman" w:cs="Times New Roman"/>
          <w:szCs w:val="24"/>
          <w:lang w:val="es-BO"/>
        </w:rPr>
        <w:t>, en razón de que las tasas de interés nacional e internacional difieren sistemáticamente en proporción directa a una prima de riesgo (</w:t>
      </w:r>
      <w:r w:rsidR="00CE0233" w:rsidRPr="00FD1DC0">
        <w:rPr>
          <w:rFonts w:ascii="Times New Roman" w:hAnsi="Times New Roman" w:cs="Times New Roman"/>
          <w:szCs w:val="24"/>
        </w:rPr>
        <w:t>ξ</w:t>
      </w:r>
      <w:r w:rsidR="00CE0233" w:rsidRPr="00FD1DC0">
        <w:rPr>
          <w:rFonts w:ascii="Times New Roman" w:hAnsi="Times New Roman" w:cs="Times New Roman"/>
          <w:szCs w:val="24"/>
          <w:lang w:val="es-BO"/>
        </w:rPr>
        <w:t>).</w:t>
      </w:r>
      <w:r w:rsidR="00CE0233" w:rsidRPr="00FD1DC0">
        <w:rPr>
          <w:rFonts w:ascii="Times New Roman" w:hAnsi="Times New Roman" w:cs="Times New Roman"/>
          <w:szCs w:val="24"/>
          <w:vertAlign w:val="superscript"/>
          <w:lang w:val="es-BO"/>
        </w:rPr>
        <w:t xml:space="preserve"> </w:t>
      </w:r>
      <w:r w:rsidR="00CE0233" w:rsidRPr="00FD1DC0">
        <w:rPr>
          <w:rFonts w:ascii="Times New Roman" w:hAnsi="Times New Roman" w:cs="Times New Roman"/>
          <w:szCs w:val="24"/>
          <w:vertAlign w:val="superscript"/>
        </w:rPr>
        <w:footnoteReference w:id="2"/>
      </w:r>
      <w:r w:rsidR="00CE0233" w:rsidRPr="00FD1DC0">
        <w:rPr>
          <w:rFonts w:ascii="Times New Roman" w:hAnsi="Times New Roman" w:cs="Times New Roman"/>
          <w:szCs w:val="24"/>
          <w:lang w:val="es-BO"/>
        </w:rPr>
        <w:t xml:space="preserve"> Por lo tanto, si </w:t>
      </w:r>
      <w:r w:rsidR="00CE0233" w:rsidRPr="00FD1DC0">
        <w:rPr>
          <w:rFonts w:ascii="Times New Roman" w:hAnsi="Times New Roman" w:cs="Times New Roman"/>
          <w:szCs w:val="24"/>
        </w:rPr>
        <w:t>ξ</w:t>
      </w:r>
      <w:r w:rsidR="00CE0233" w:rsidRPr="00FD1DC0">
        <w:rPr>
          <w:rFonts w:ascii="Times New Roman" w:hAnsi="Times New Roman" w:cs="Times New Roman"/>
          <w:szCs w:val="24"/>
          <w:lang w:val="es-BO"/>
        </w:rPr>
        <w:t xml:space="preserve"> &gt; 0 el tipo de cambio no responderá a la condición PTID.</w:t>
      </w:r>
    </w:p>
    <w:p w14:paraId="424D1FB1" w14:textId="0D15F13E" w:rsidR="005F0E62" w:rsidRPr="00FD1DC0" w:rsidRDefault="005F0E62" w:rsidP="008D25A4">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El modelo da a conocer la regla</w:t>
      </w:r>
      <w:r w:rsidR="006F11F0" w:rsidRPr="00FD1DC0">
        <w:rPr>
          <w:rFonts w:ascii="Times New Roman" w:hAnsi="Times New Roman" w:cs="Times New Roman"/>
          <w:szCs w:val="24"/>
          <w:lang w:val="es-BO"/>
        </w:rPr>
        <w:t xml:space="preserve"> monetaria qu</w:t>
      </w:r>
      <w:r w:rsidR="009B3474" w:rsidRPr="00FD1DC0">
        <w:rPr>
          <w:rFonts w:ascii="Times New Roman" w:hAnsi="Times New Roman" w:cs="Times New Roman"/>
          <w:szCs w:val="24"/>
          <w:lang w:val="es-BO"/>
        </w:rPr>
        <w:t>e debe seguir el Banco Central BC</w:t>
      </w:r>
      <w:r w:rsidRPr="00FD1DC0">
        <w:rPr>
          <w:rFonts w:ascii="Times New Roman" w:hAnsi="Times New Roman" w:cs="Times New Roman"/>
          <w:szCs w:val="24"/>
          <w:lang w:val="es-BO"/>
        </w:rPr>
        <w:t xml:space="preserve"> para alcanzar objetivo de inflación deseado, que según los autores del</w:t>
      </w:r>
      <w:r w:rsidR="006F11F0" w:rsidRPr="00FD1DC0">
        <w:rPr>
          <w:rFonts w:ascii="Times New Roman" w:hAnsi="Times New Roman" w:cs="Times New Roman"/>
          <w:szCs w:val="24"/>
          <w:lang w:val="es-BO"/>
        </w:rPr>
        <w:t xml:space="preserve"> Nuevo Consenso Macroeconómico</w:t>
      </w:r>
      <w:r w:rsidRPr="00FD1DC0">
        <w:rPr>
          <w:rFonts w:ascii="Times New Roman" w:hAnsi="Times New Roman" w:cs="Times New Roman"/>
          <w:szCs w:val="24"/>
          <w:lang w:val="es-BO"/>
        </w:rPr>
        <w:t xml:space="preserve"> NCM, es la mejor y única contribución que la política monetaria puede hacer al crecimiento económico e</w:t>
      </w:r>
      <w:r w:rsidR="000F2D27" w:rsidRPr="00FD1DC0">
        <w:rPr>
          <w:rFonts w:ascii="Times New Roman" w:hAnsi="Times New Roman" w:cs="Times New Roman"/>
          <w:szCs w:val="24"/>
          <w:lang w:val="es-BO"/>
        </w:rPr>
        <w:t>n el largo plazo. El sistema se</w:t>
      </w:r>
      <w:r w:rsidR="00FB6E44" w:rsidRPr="00FD1DC0">
        <w:rPr>
          <w:rFonts w:ascii="Times New Roman" w:hAnsi="Times New Roman" w:cs="Times New Roman"/>
          <w:szCs w:val="24"/>
          <w:lang w:val="es-BO"/>
        </w:rPr>
        <w:t xml:space="preserve"> explica</w:t>
      </w:r>
      <w:r w:rsidRPr="00FD1DC0">
        <w:rPr>
          <w:rFonts w:ascii="Times New Roman" w:hAnsi="Times New Roman" w:cs="Times New Roman"/>
          <w:szCs w:val="24"/>
          <w:lang w:val="es-BO"/>
        </w:rPr>
        <w:t xml:space="preserve"> de la siguiente forma: si </w:t>
      </w:r>
      <w:r w:rsidR="004B30B6" w:rsidRPr="00FD1DC0">
        <w:rPr>
          <w:rFonts w:ascii="Times New Roman" w:hAnsi="Times New Roman" w:cs="Times New Roman"/>
          <w:szCs w:val="24"/>
          <w:lang w:val="es-BO"/>
        </w:rPr>
        <w:t>se produce un aumento de</w:t>
      </w:r>
      <w:r w:rsidRPr="00FD1DC0">
        <w:rPr>
          <w:rFonts w:ascii="Times New Roman" w:hAnsi="Times New Roman" w:cs="Times New Roman"/>
          <w:szCs w:val="24"/>
          <w:lang w:val="es-BO"/>
        </w:rPr>
        <w:t xml:space="preserve"> la brecha de</w:t>
      </w:r>
      <w:r w:rsidR="004B30B6" w:rsidRPr="00FD1DC0">
        <w:rPr>
          <w:rFonts w:ascii="Times New Roman" w:hAnsi="Times New Roman" w:cs="Times New Roman"/>
          <w:szCs w:val="24"/>
          <w:lang w:val="es-BO"/>
        </w:rPr>
        <w:t>l</w:t>
      </w:r>
      <w:r w:rsidRPr="00FD1DC0">
        <w:rPr>
          <w:rFonts w:ascii="Times New Roman" w:hAnsi="Times New Roman" w:cs="Times New Roman"/>
          <w:szCs w:val="24"/>
          <w:lang w:val="es-BO"/>
        </w:rPr>
        <w:t xml:space="preserve"> producto, </w:t>
      </w:r>
      <w:r w:rsidR="004B30B6" w:rsidRPr="00FD1DC0">
        <w:rPr>
          <w:rFonts w:ascii="Times New Roman" w:hAnsi="Times New Roman" w:cs="Times New Roman"/>
          <w:szCs w:val="24"/>
          <w:lang w:val="es-BO"/>
        </w:rPr>
        <w:t>aumenta</w:t>
      </w:r>
      <w:r w:rsidRPr="00FD1DC0">
        <w:rPr>
          <w:rFonts w:ascii="Times New Roman" w:hAnsi="Times New Roman" w:cs="Times New Roman"/>
          <w:szCs w:val="24"/>
          <w:lang w:val="es-BO"/>
        </w:rPr>
        <w:t xml:space="preserve"> la</w:t>
      </w:r>
      <w:r w:rsidR="004B30B6" w:rsidRPr="00FD1DC0">
        <w:rPr>
          <w:rFonts w:ascii="Times New Roman" w:hAnsi="Times New Roman" w:cs="Times New Roman"/>
          <w:szCs w:val="24"/>
          <w:lang w:val="es-BO"/>
        </w:rPr>
        <w:t xml:space="preserve"> tasa de</w:t>
      </w:r>
      <w:r w:rsidRPr="00FD1DC0">
        <w:rPr>
          <w:rFonts w:ascii="Times New Roman" w:hAnsi="Times New Roman" w:cs="Times New Roman"/>
          <w:szCs w:val="24"/>
          <w:lang w:val="es-BO"/>
        </w:rPr>
        <w:t xml:space="preserve"> inflación, y con ella aumenta también la brecha de inflación. En esa línea, con base en la regla de Taylor, el BC debe incrementar la tasa de interés 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Conforme aumenta 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la inflación disminuye, </w:t>
      </w:r>
      <w:r w:rsidRPr="00FD1DC0">
        <w:rPr>
          <w:rFonts w:ascii="Times New Roman" w:hAnsi="Times New Roman" w:cs="Times New Roman"/>
          <w:szCs w:val="24"/>
        </w:rPr>
        <w:t>π</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y y</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tenderán hacia </w:t>
      </w:r>
      <w:r w:rsidRPr="00FD1DC0">
        <w:rPr>
          <w:rFonts w:ascii="Times New Roman" w:hAnsi="Times New Roman" w:cs="Times New Roman"/>
          <w:szCs w:val="24"/>
        </w:rPr>
        <w:t>π</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y y</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respectivamente y, por tanto, las brechas de inflación y producto tienden a cero, </w:t>
      </w:r>
      <w:r w:rsidRPr="00FD1DC0">
        <w:rPr>
          <w:rFonts w:ascii="Times New Roman" w:hAnsi="Times New Roman" w:cs="Times New Roman"/>
          <w:szCs w:val="24"/>
        </w:rPr>
        <w:t>π</w:t>
      </w:r>
      <w:r w:rsidRPr="00FD1DC0">
        <w:rPr>
          <w:rFonts w:ascii="Times New Roman" w:hAnsi="Times New Roman" w:cs="Times New Roman"/>
          <w:szCs w:val="24"/>
          <w:vertAlign w:val="subscript"/>
        </w:rPr>
        <w:t>Γ</w:t>
      </w:r>
      <w:r w:rsidRPr="00FD1DC0">
        <w:rPr>
          <w:rFonts w:ascii="Times New Roman" w:hAnsi="Times New Roman" w:cs="Times New Roman"/>
          <w:szCs w:val="24"/>
          <w:lang w:val="es-BO"/>
        </w:rPr>
        <w:t xml:space="preserve"> = 0 y y</w:t>
      </w:r>
      <w:r w:rsidRPr="00FD1DC0">
        <w:rPr>
          <w:rFonts w:ascii="Times New Roman" w:hAnsi="Times New Roman" w:cs="Times New Roman"/>
          <w:szCs w:val="24"/>
          <w:vertAlign w:val="subscript"/>
        </w:rPr>
        <w:t>Γ</w:t>
      </w:r>
      <w:r w:rsidR="00984F6F" w:rsidRPr="00FD1DC0">
        <w:rPr>
          <w:rFonts w:ascii="Times New Roman" w:hAnsi="Times New Roman" w:cs="Times New Roman"/>
          <w:szCs w:val="24"/>
          <w:lang w:val="es-BO"/>
        </w:rPr>
        <w:t xml:space="preserve"> = 0. Así, al cerrarse</w:t>
      </w:r>
      <w:r w:rsidRPr="00FD1DC0">
        <w:rPr>
          <w:rFonts w:ascii="Times New Roman" w:hAnsi="Times New Roman" w:cs="Times New Roman"/>
          <w:szCs w:val="24"/>
          <w:lang w:val="es-BO"/>
        </w:rPr>
        <w:t xml:space="preserve"> las dos brechas, 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r*, es decir, la tasa de interés real actual se igualará con la tasa “natural” (o de equilibrio) de interés. Y en este punto, la economía alcanza la estabilidad de precios.</w:t>
      </w:r>
    </w:p>
    <w:p w14:paraId="2EC83501" w14:textId="24B18D56" w:rsidR="0055607F" w:rsidRPr="00FD1DC0" w:rsidRDefault="00984F6F" w:rsidP="008D25A4">
      <w:pPr>
        <w:spacing w:after="0" w:line="360" w:lineRule="auto"/>
        <w:ind w:left="62" w:right="539" w:hanging="11"/>
        <w:rPr>
          <w:rFonts w:ascii="Times New Roman" w:eastAsiaTheme="minorHAnsi" w:hAnsi="Times New Roman" w:cs="Times New Roman"/>
          <w:color w:val="auto"/>
          <w:szCs w:val="24"/>
          <w:lang w:val="es-BO"/>
        </w:rPr>
      </w:pPr>
      <w:r w:rsidRPr="00FD1DC0">
        <w:rPr>
          <w:rFonts w:ascii="Times New Roman" w:hAnsi="Times New Roman" w:cs="Times New Roman"/>
          <w:szCs w:val="24"/>
          <w:lang w:val="es-BO"/>
        </w:rPr>
        <w:t>A su vez, e</w:t>
      </w:r>
      <w:r w:rsidR="0055607F" w:rsidRPr="00FD1DC0">
        <w:rPr>
          <w:rFonts w:ascii="Times New Roman" w:hAnsi="Times New Roman" w:cs="Times New Roman"/>
          <w:szCs w:val="24"/>
          <w:lang w:val="es-BO"/>
        </w:rPr>
        <w:t>l nuevo paradigma monetario reconoce que el BC sólo puede tener total manejo sobre las tasas de interés nominal de corto plazo sobre la base monetaria H. El arbitraje (la competencia) se encarga de alinear las tasas de interés reales de otros mercados con la nominal de corto plazo (Woodford, 2003). Al anclar la tasa nominal de corto plazo, de inmediato se fija también la tasa de interés real r</w:t>
      </w:r>
      <w:r w:rsidR="0055607F" w:rsidRPr="00FD1DC0">
        <w:rPr>
          <w:rFonts w:ascii="Times New Roman" w:hAnsi="Times New Roman" w:cs="Times New Roman"/>
          <w:szCs w:val="24"/>
          <w:vertAlign w:val="subscript"/>
          <w:lang w:val="es-BO"/>
        </w:rPr>
        <w:t>t</w:t>
      </w:r>
      <w:r w:rsidR="0055607F" w:rsidRPr="00FD1DC0">
        <w:rPr>
          <w:rFonts w:ascii="Times New Roman" w:hAnsi="Times New Roman" w:cs="Times New Roman"/>
          <w:szCs w:val="24"/>
          <w:lang w:val="es-BO"/>
        </w:rPr>
        <w:t xml:space="preserve"> mediante la diferencia i</w:t>
      </w:r>
      <w:r w:rsidR="0055607F" w:rsidRPr="00FD1DC0">
        <w:rPr>
          <w:rFonts w:ascii="Times New Roman" w:hAnsi="Times New Roman" w:cs="Times New Roman"/>
          <w:szCs w:val="24"/>
          <w:vertAlign w:val="subscript"/>
          <w:lang w:val="es-BO"/>
        </w:rPr>
        <w:t>t</w:t>
      </w:r>
      <w:r w:rsidR="0055607F" w:rsidRPr="00FD1DC0">
        <w:rPr>
          <w:rFonts w:ascii="Times New Roman" w:hAnsi="Times New Roman" w:cs="Times New Roman"/>
          <w:szCs w:val="24"/>
          <w:lang w:val="es-BO"/>
        </w:rPr>
        <w:t xml:space="preserve"> - π</w:t>
      </w:r>
      <w:r w:rsidR="0055607F" w:rsidRPr="00FD1DC0">
        <w:rPr>
          <w:rFonts w:ascii="Times New Roman" w:hAnsi="Times New Roman" w:cs="Times New Roman"/>
          <w:szCs w:val="24"/>
          <w:vertAlign w:val="superscript"/>
          <w:lang w:val="es-BO"/>
        </w:rPr>
        <w:t>e</w:t>
      </w:r>
      <w:r w:rsidR="0055607F" w:rsidRPr="00FD1DC0">
        <w:rPr>
          <w:rFonts w:ascii="Times New Roman" w:hAnsi="Times New Roman" w:cs="Times New Roman"/>
          <w:szCs w:val="24"/>
          <w:lang w:val="es-BO"/>
        </w:rPr>
        <w:t>, restando las expectativas de inflación a la tasa de interés nominal. De tal forma, que se asegura la convergencia entre r</w:t>
      </w:r>
      <w:r w:rsidR="0055607F" w:rsidRPr="00FD1DC0">
        <w:rPr>
          <w:rFonts w:ascii="Times New Roman" w:hAnsi="Times New Roman" w:cs="Times New Roman"/>
          <w:szCs w:val="24"/>
          <w:vertAlign w:val="subscript"/>
          <w:lang w:val="es-BO"/>
        </w:rPr>
        <w:t>t</w:t>
      </w:r>
      <w:r w:rsidR="0055607F" w:rsidRPr="00FD1DC0">
        <w:rPr>
          <w:rFonts w:ascii="Times New Roman" w:hAnsi="Times New Roman" w:cs="Times New Roman"/>
          <w:szCs w:val="24"/>
          <w:lang w:val="es-BO"/>
        </w:rPr>
        <w:t xml:space="preserve"> y r* y así, con tasas de interés reales de mercado dadas, de </w:t>
      </w:r>
      <w:r w:rsidR="00FE7BE4" w:rsidRPr="00FD1DC0">
        <w:rPr>
          <w:rFonts w:ascii="Times New Roman" w:hAnsi="Times New Roman" w:cs="Times New Roman"/>
          <w:szCs w:val="24"/>
          <w:lang w:val="es-BO"/>
        </w:rPr>
        <w:t>tal forma que el Banco Central BC</w:t>
      </w:r>
      <w:r w:rsidR="0055607F" w:rsidRPr="00FD1DC0">
        <w:rPr>
          <w:rFonts w:ascii="Times New Roman" w:hAnsi="Times New Roman" w:cs="Times New Roman"/>
          <w:szCs w:val="24"/>
          <w:lang w:val="es-BO"/>
        </w:rPr>
        <w:t>, puede determinar el nivel general de precios de los bienes sobre la base del manejo de las expectativas del público. Por lo tanto, el BC puede elegir el objetivo de inflación π</w:t>
      </w:r>
      <w:r w:rsidR="0055607F" w:rsidRPr="00FD1DC0">
        <w:rPr>
          <w:rFonts w:ascii="Times New Roman" w:hAnsi="Times New Roman" w:cs="Times New Roman"/>
          <w:szCs w:val="24"/>
          <w:vertAlign w:val="superscript"/>
          <w:lang w:val="es-BO"/>
        </w:rPr>
        <w:t>T</w:t>
      </w:r>
      <w:r w:rsidR="0055607F" w:rsidRPr="00FD1DC0">
        <w:rPr>
          <w:rFonts w:ascii="Times New Roman" w:hAnsi="Times New Roman" w:cs="Times New Roman"/>
          <w:szCs w:val="24"/>
          <w:lang w:val="es-BO"/>
        </w:rPr>
        <w:t xml:space="preserve"> a través del instrumento de política monetaria. Por donde podemos conocer que la condición de arbitraje clave, el mecanismo de la competencia que iguala la tasa de interés interna con la tasa de interés externa, es la conocida ecuación de Irving Fisher (1907):</w:t>
      </w:r>
    </w:p>
    <w:p w14:paraId="13AE7A48" w14:textId="33807F23" w:rsidR="000E36CD" w:rsidRPr="00FD1DC0" w:rsidRDefault="00DA64FF" w:rsidP="008D25A4">
      <w:pPr>
        <w:spacing w:after="0" w:line="360" w:lineRule="auto"/>
        <w:ind w:left="51"/>
        <w:jc w:val="center"/>
        <w:rPr>
          <w:rFonts w:ascii="Times New Roman" w:hAnsi="Times New Roman" w:cs="Times New Roman"/>
          <w:szCs w:val="24"/>
        </w:rPr>
      </w:pPr>
      <w:r w:rsidRPr="00FD1DC0">
        <w:rPr>
          <w:rFonts w:ascii="Times New Roman" w:hAnsi="Times New Roman" w:cs="Times New Roman"/>
          <w:szCs w:val="24"/>
          <w:lang w:val="es-BO"/>
        </w:rPr>
        <w:t xml:space="preserve">                 </w:t>
      </w:r>
      <w:r w:rsidR="003C0B75" w:rsidRPr="00FD1DC0">
        <w:rPr>
          <w:rFonts w:ascii="Times New Roman" w:hAnsi="Times New Roman" w:cs="Times New Roman"/>
          <w:szCs w:val="24"/>
        </w:rPr>
        <w:t>i</w:t>
      </w:r>
      <w:r w:rsidR="003C0B75" w:rsidRPr="00FD1DC0">
        <w:rPr>
          <w:rFonts w:ascii="Times New Roman" w:hAnsi="Times New Roman" w:cs="Times New Roman"/>
          <w:szCs w:val="24"/>
          <w:vertAlign w:val="subscript"/>
        </w:rPr>
        <w:t>t</w:t>
      </w:r>
      <w:r w:rsidR="003C0B75" w:rsidRPr="00FD1DC0">
        <w:rPr>
          <w:rFonts w:ascii="Times New Roman" w:hAnsi="Times New Roman" w:cs="Times New Roman"/>
          <w:szCs w:val="24"/>
        </w:rPr>
        <w:t xml:space="preserve"> = r</w:t>
      </w:r>
      <w:r w:rsidR="003C0B75" w:rsidRPr="00FD1DC0">
        <w:rPr>
          <w:rFonts w:ascii="Times New Roman" w:hAnsi="Times New Roman" w:cs="Times New Roman"/>
          <w:szCs w:val="24"/>
          <w:vertAlign w:val="subscript"/>
        </w:rPr>
        <w:t>t</w:t>
      </w:r>
      <w:r w:rsidR="003C0B75" w:rsidRPr="00FD1DC0">
        <w:rPr>
          <w:rFonts w:ascii="Times New Roman" w:hAnsi="Times New Roman" w:cs="Times New Roman"/>
          <w:szCs w:val="24"/>
        </w:rPr>
        <w:t xml:space="preserve"> + [E</w:t>
      </w:r>
      <w:r w:rsidR="003C0B75" w:rsidRPr="00FD1DC0">
        <w:rPr>
          <w:rFonts w:ascii="Times New Roman" w:hAnsi="Times New Roman" w:cs="Times New Roman"/>
          <w:szCs w:val="24"/>
          <w:vertAlign w:val="subscript"/>
        </w:rPr>
        <w:t>t</w:t>
      </w:r>
      <w:r w:rsidR="003C0B75" w:rsidRPr="00FD1DC0">
        <w:rPr>
          <w:rFonts w:ascii="Times New Roman" w:hAnsi="Times New Roman" w:cs="Times New Roman"/>
          <w:szCs w:val="24"/>
        </w:rPr>
        <w:t xml:space="preserve"> </w:t>
      </w:r>
      <w:r w:rsidR="003C0B75" w:rsidRPr="00FD1DC0">
        <w:rPr>
          <w:rFonts w:ascii="Times New Roman" w:hAnsi="Times New Roman" w:cs="Times New Roman"/>
          <w:i/>
          <w:szCs w:val="24"/>
        </w:rPr>
        <w:t>p</w:t>
      </w:r>
      <w:r w:rsidR="003C0B75" w:rsidRPr="00FD1DC0">
        <w:rPr>
          <w:rFonts w:ascii="Times New Roman" w:hAnsi="Times New Roman" w:cs="Times New Roman"/>
          <w:szCs w:val="24"/>
          <w:vertAlign w:val="subscript"/>
        </w:rPr>
        <w:t>t+1</w:t>
      </w:r>
      <w:r w:rsidR="003C0B75" w:rsidRPr="00FD1DC0">
        <w:rPr>
          <w:rFonts w:ascii="Times New Roman" w:hAnsi="Times New Roman" w:cs="Times New Roman"/>
          <w:szCs w:val="24"/>
        </w:rPr>
        <w:t xml:space="preserve"> – </w:t>
      </w:r>
      <w:r w:rsidR="003C0B75" w:rsidRPr="00FD1DC0">
        <w:rPr>
          <w:rFonts w:ascii="Times New Roman" w:hAnsi="Times New Roman" w:cs="Times New Roman"/>
          <w:i/>
          <w:szCs w:val="24"/>
        </w:rPr>
        <w:t>p</w:t>
      </w:r>
      <w:r w:rsidR="003C0B75" w:rsidRPr="00FD1DC0">
        <w:rPr>
          <w:rFonts w:ascii="Times New Roman" w:hAnsi="Times New Roman" w:cs="Times New Roman"/>
          <w:szCs w:val="24"/>
          <w:vertAlign w:val="subscript"/>
        </w:rPr>
        <w:t>t</w:t>
      </w:r>
      <w:r w:rsidR="003C0B75" w:rsidRPr="00FD1DC0">
        <w:rPr>
          <w:rFonts w:ascii="Times New Roman" w:hAnsi="Times New Roman" w:cs="Times New Roman"/>
          <w:szCs w:val="24"/>
        </w:rPr>
        <w:t>]               (1.6)</w:t>
      </w:r>
    </w:p>
    <w:p w14:paraId="188F6670" w14:textId="155A5130"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Donde:</w:t>
      </w:r>
    </w:p>
    <w:p w14:paraId="79FFC921" w14:textId="1E8358F7"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i</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es la tasa de interés nominal.</w:t>
      </w:r>
    </w:p>
    <w:p w14:paraId="64D3FEAE" w14:textId="623CB069"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es la tasa de interés real.</w:t>
      </w:r>
    </w:p>
    <w:p w14:paraId="33DE579E" w14:textId="6F53433E"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i/>
          <w:szCs w:val="24"/>
          <w:lang w:val="es-BO"/>
        </w:rPr>
        <w:t>p</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es el antilogaritmo del nivel general de precios.</w:t>
      </w:r>
    </w:p>
    <w:p w14:paraId="28E815BA" w14:textId="4704038B"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E</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es el operador de expectativas condicionado a la información disponible en el periodo t.</w:t>
      </w:r>
    </w:p>
    <w:p w14:paraId="6A9645E0" w14:textId="7A92B222" w:rsidR="00A43DE1" w:rsidRPr="00FD1DC0" w:rsidRDefault="00A43DE1" w:rsidP="008D25A4">
      <w:pPr>
        <w:spacing w:after="0" w:line="360" w:lineRule="auto"/>
        <w:ind w:left="51"/>
        <w:rPr>
          <w:rFonts w:ascii="Times New Roman" w:hAnsi="Times New Roman" w:cs="Times New Roman"/>
          <w:szCs w:val="24"/>
          <w:lang w:val="es-BO"/>
        </w:rPr>
      </w:pPr>
      <w:r w:rsidRPr="00FD1DC0">
        <w:rPr>
          <w:rFonts w:ascii="Times New Roman" w:hAnsi="Times New Roman" w:cs="Times New Roman"/>
          <w:szCs w:val="24"/>
          <w:lang w:val="es-BO"/>
        </w:rPr>
        <w:t>Dados i</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y p</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la inflación esperada será consistente con la proyectada por el nuevo paradigma monetario.</w:t>
      </w:r>
    </w:p>
    <w:p w14:paraId="5A1832A4" w14:textId="3C86B8D9" w:rsidR="00BA558B" w:rsidRPr="00FD1DC0" w:rsidRDefault="00A43DE1" w:rsidP="008D25A4">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A partir del modelo</w:t>
      </w:r>
      <w:r w:rsidR="005F0EDE" w:rsidRPr="00FD1DC0">
        <w:rPr>
          <w:rFonts w:ascii="Times New Roman" w:hAnsi="Times New Roman" w:cs="Times New Roman"/>
          <w:szCs w:val="24"/>
          <w:lang w:val="es-BO"/>
        </w:rPr>
        <w:t>, si</w:t>
      </w:r>
      <w:r w:rsidR="00826953" w:rsidRPr="00FD1DC0">
        <w:rPr>
          <w:rFonts w:ascii="Times New Roman" w:hAnsi="Times New Roman" w:cs="Times New Roman"/>
          <w:szCs w:val="24"/>
          <w:lang w:val="es-BO"/>
        </w:rPr>
        <w:t xml:space="preserve"> en efecto el Banco Central </w:t>
      </w:r>
      <w:r w:rsidR="006810DD" w:rsidRPr="00FD1DC0">
        <w:rPr>
          <w:rFonts w:ascii="Times New Roman" w:hAnsi="Times New Roman" w:cs="Times New Roman"/>
          <w:szCs w:val="24"/>
          <w:lang w:val="es-BO"/>
        </w:rPr>
        <w:t>cumple con las características de la regla de Taylor, la economía convergerá a la posición de equilibrio, con independencia de los choques aleatorios de demanda, inflación o tipo de cambio.</w:t>
      </w:r>
      <w:r w:rsidR="00BA558B" w:rsidRPr="00FD1DC0">
        <w:rPr>
          <w:rFonts w:ascii="Times New Roman" w:hAnsi="Times New Roman" w:cs="Times New Roman"/>
          <w:szCs w:val="24"/>
          <w:lang w:val="es-BO"/>
        </w:rPr>
        <w:t xml:space="preserve"> La condición es que el BC elija la π</w:t>
      </w:r>
      <w:r w:rsidR="00BA558B" w:rsidRPr="00FD1DC0">
        <w:rPr>
          <w:rFonts w:ascii="Times New Roman" w:hAnsi="Times New Roman" w:cs="Times New Roman"/>
          <w:szCs w:val="24"/>
          <w:vertAlign w:val="superscript"/>
          <w:lang w:val="es-BO"/>
        </w:rPr>
        <w:t>T</w:t>
      </w:r>
      <w:r w:rsidR="00BA558B" w:rsidRPr="00FD1DC0">
        <w:rPr>
          <w:rFonts w:ascii="Times New Roman" w:hAnsi="Times New Roman" w:cs="Times New Roman"/>
          <w:szCs w:val="24"/>
          <w:lang w:val="es-BO"/>
        </w:rPr>
        <w:t xml:space="preserve"> “correcta” y que le permita ajustar de manera precisa el instrumento exógeno de la política monetaria. A su vez el </w:t>
      </w:r>
      <w:r w:rsidR="006F11F0" w:rsidRPr="00FD1DC0">
        <w:rPr>
          <w:rFonts w:ascii="Times New Roman" w:hAnsi="Times New Roman" w:cs="Times New Roman"/>
          <w:szCs w:val="24"/>
          <w:lang w:val="es-BO"/>
        </w:rPr>
        <w:t>Rég</w:t>
      </w:r>
      <w:r w:rsidR="00F2107C" w:rsidRPr="00FD1DC0">
        <w:rPr>
          <w:rFonts w:ascii="Times New Roman" w:hAnsi="Times New Roman" w:cs="Times New Roman"/>
          <w:szCs w:val="24"/>
          <w:lang w:val="es-BO"/>
        </w:rPr>
        <w:t xml:space="preserve">imen de Objetivos de Inflación </w:t>
      </w:r>
      <w:r w:rsidR="00BA558B" w:rsidRPr="00FD1DC0">
        <w:rPr>
          <w:rFonts w:ascii="Times New Roman" w:hAnsi="Times New Roman" w:cs="Times New Roman"/>
          <w:szCs w:val="24"/>
          <w:lang w:val="es-BO"/>
        </w:rPr>
        <w:t>ROI pronostica que su resultado más preciso en el largo plazo es una tasa de inflación y una tasa de crecimiento del PIB óptimos. En esa línea, sólo π</w:t>
      </w:r>
      <w:r w:rsidR="00BA558B" w:rsidRPr="00FD1DC0">
        <w:rPr>
          <w:rFonts w:ascii="Times New Roman" w:hAnsi="Times New Roman" w:cs="Times New Roman"/>
          <w:szCs w:val="24"/>
          <w:vertAlign w:val="subscript"/>
          <w:lang w:val="es-BO"/>
        </w:rPr>
        <w:t>Γ</w:t>
      </w:r>
      <w:r w:rsidR="00BA558B" w:rsidRPr="00FD1DC0">
        <w:rPr>
          <w:rFonts w:ascii="Times New Roman" w:hAnsi="Times New Roman" w:cs="Times New Roman"/>
          <w:szCs w:val="24"/>
          <w:lang w:val="es-BO"/>
        </w:rPr>
        <w:t xml:space="preserve"> y y</w:t>
      </w:r>
      <w:r w:rsidR="00BA558B" w:rsidRPr="00FD1DC0">
        <w:rPr>
          <w:rFonts w:ascii="Times New Roman" w:hAnsi="Times New Roman" w:cs="Times New Roman"/>
          <w:szCs w:val="24"/>
          <w:vertAlign w:val="subscript"/>
          <w:lang w:val="es-BO"/>
        </w:rPr>
        <w:t>Γ</w:t>
      </w:r>
      <w:r w:rsidR="00BA558B" w:rsidRPr="00FD1DC0">
        <w:rPr>
          <w:rFonts w:ascii="Times New Roman" w:hAnsi="Times New Roman" w:cs="Times New Roman"/>
          <w:szCs w:val="24"/>
          <w:lang w:val="es-BO"/>
        </w:rPr>
        <w:t xml:space="preserve"> son importantes en el proceso de estabilización de la economía, mecanismo dado por la convergencia r</w:t>
      </w:r>
      <w:r w:rsidR="00BA558B" w:rsidRPr="00FD1DC0">
        <w:rPr>
          <w:rFonts w:ascii="Times New Roman" w:hAnsi="Times New Roman" w:cs="Times New Roman"/>
          <w:szCs w:val="24"/>
          <w:vertAlign w:val="subscript"/>
          <w:lang w:val="es-BO"/>
        </w:rPr>
        <w:t>t</w:t>
      </w:r>
      <w:r w:rsidR="00BA558B" w:rsidRPr="00FD1DC0">
        <w:rPr>
          <w:rFonts w:ascii="Times New Roman" w:hAnsi="Times New Roman" w:cs="Times New Roman"/>
          <w:szCs w:val="24"/>
          <w:lang w:val="es-BO"/>
        </w:rPr>
        <w:t>= r*</w:t>
      </w:r>
      <w:r w:rsidR="00343D97" w:rsidRPr="00FD1DC0">
        <w:rPr>
          <w:rFonts w:ascii="Times New Roman" w:hAnsi="Times New Roman" w:cs="Times New Roman"/>
          <w:szCs w:val="24"/>
          <w:vertAlign w:val="superscript"/>
        </w:rPr>
        <w:footnoteReference w:id="3"/>
      </w:r>
      <w:r w:rsidR="00BA558B" w:rsidRPr="00FD1DC0">
        <w:rPr>
          <w:rFonts w:ascii="Times New Roman" w:hAnsi="Times New Roman" w:cs="Times New Roman"/>
          <w:szCs w:val="24"/>
          <w:lang w:val="es-BO"/>
        </w:rPr>
        <w:t>.</w:t>
      </w:r>
    </w:p>
    <w:p w14:paraId="4D5EFC9B" w14:textId="39FE0643" w:rsidR="009852EA" w:rsidRPr="00FD1DC0" w:rsidRDefault="009852EA" w:rsidP="008D25A4">
      <w:pPr>
        <w:spacing w:after="0" w:line="360" w:lineRule="auto"/>
        <w:rPr>
          <w:rFonts w:ascii="Times New Roman" w:eastAsiaTheme="minorHAnsi" w:hAnsi="Times New Roman" w:cs="Times New Roman"/>
          <w:color w:val="auto"/>
          <w:szCs w:val="24"/>
          <w:lang w:val="es-BO"/>
        </w:rPr>
      </w:pPr>
      <w:r w:rsidRPr="00FD1DC0">
        <w:rPr>
          <w:rFonts w:ascii="Times New Roman" w:hAnsi="Times New Roman" w:cs="Times New Roman"/>
          <w:szCs w:val="24"/>
          <w:lang w:val="es-BO"/>
        </w:rPr>
        <w:t xml:space="preserve">Asimismo, si bien la versión canónica del nuevo paradigma monetario (la regla de Taylor) no toma en cuenta de manera inicial al tipo de cambio como un factor de la inflación, algunos modelos de objetivo inflación sí lo toman en cuenta. Por ejemplo, </w:t>
      </w:r>
      <w:r w:rsidR="00820BC3" w:rsidRPr="00FD1DC0">
        <w:rPr>
          <w:rFonts w:ascii="Times New Roman" w:hAnsi="Times New Roman" w:cs="Times New Roman"/>
          <w:szCs w:val="24"/>
          <w:lang w:val="es-BO"/>
        </w:rPr>
        <w:t xml:space="preserve">(Ball, </w:t>
      </w:r>
      <w:r w:rsidRPr="00FD1DC0">
        <w:rPr>
          <w:rFonts w:ascii="Times New Roman" w:hAnsi="Times New Roman" w:cs="Times New Roman"/>
          <w:szCs w:val="24"/>
          <w:lang w:val="es-BO"/>
        </w:rPr>
        <w:t>1999) afirma que en la práctica los bancos centrales no usan la regla de Taylor sino un índice de condiciones monetarias. A su vez, afirma que en el largo plazo el efecto del tipo de cambio se diluye a medida que con la disminución de la inflación el coeficiente del traspaso del tipo de cambio a los precios se elimina.</w:t>
      </w:r>
    </w:p>
    <w:p w14:paraId="5D67E878" w14:textId="133586E6" w:rsidR="00F71C3C" w:rsidRPr="00FD1DC0" w:rsidRDefault="00F71C3C" w:rsidP="008D25A4">
      <w:pPr>
        <w:spacing w:after="0" w:line="360" w:lineRule="auto"/>
        <w:rPr>
          <w:rFonts w:ascii="Times New Roman" w:eastAsiaTheme="minorHAnsi" w:hAnsi="Times New Roman" w:cs="Times New Roman"/>
          <w:color w:val="auto"/>
          <w:szCs w:val="24"/>
          <w:lang w:val="es-BO"/>
        </w:rPr>
      </w:pPr>
      <w:r w:rsidRPr="00FD1DC0">
        <w:rPr>
          <w:rFonts w:ascii="Times New Roman" w:hAnsi="Times New Roman" w:cs="Times New Roman"/>
          <w:szCs w:val="24"/>
          <w:lang w:val="es-BO"/>
        </w:rPr>
        <w:t>Sin embargo, surgen dos interrogantes: ¿cuál es la idea que permite determinar el objetivo de inflación “correcto”? la respuesta parece estar relacionada con la existencia de una tasa de interés “correcta” o, a su vez, con el cálculo correcto de la tasa natural de interés por parte del BC. Y la segunda interrogante ¿cómo se determina esa tasa natural de interés? Si existe una solución, entonces el ROI sí determina la estabilidad de precios, porque a partir de la tasa natural depende que la economía se acerque o no de las trayectorias de inflación/deflación.</w:t>
      </w:r>
    </w:p>
    <w:p w14:paraId="4162918A" w14:textId="24FBBCD2" w:rsidR="0002647E" w:rsidRPr="00FD1DC0" w:rsidRDefault="0099185F" w:rsidP="00685B11">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 xml:space="preserve">Dos supuestos importantes caracterizan al ROI. Primero, la inflación es esencialmente un fenómeno monetario, igual que en el modelo monetarista de </w:t>
      </w:r>
      <w:r w:rsidR="00325257" w:rsidRPr="00FD1DC0">
        <w:rPr>
          <w:rFonts w:ascii="Times New Roman" w:hAnsi="Times New Roman" w:cs="Times New Roman"/>
          <w:szCs w:val="24"/>
          <w:lang w:val="es-BO"/>
        </w:rPr>
        <w:t>Friedman</w:t>
      </w:r>
      <w:r w:rsidR="008E707E" w:rsidRPr="00FD1DC0">
        <w:rPr>
          <w:rFonts w:ascii="Times New Roman" w:hAnsi="Times New Roman" w:cs="Times New Roman"/>
          <w:szCs w:val="24"/>
          <w:lang w:val="es-BO"/>
        </w:rPr>
        <w:t xml:space="preserve"> </w:t>
      </w:r>
      <w:r w:rsidR="00325257" w:rsidRPr="00FD1DC0">
        <w:rPr>
          <w:rFonts w:ascii="Times New Roman" w:hAnsi="Times New Roman" w:cs="Times New Roman"/>
          <w:szCs w:val="24"/>
          <w:lang w:val="es-BO"/>
        </w:rPr>
        <w:t>(</w:t>
      </w:r>
      <w:r w:rsidRPr="00FD1DC0">
        <w:rPr>
          <w:rFonts w:ascii="Times New Roman" w:hAnsi="Times New Roman" w:cs="Times New Roman"/>
          <w:szCs w:val="24"/>
          <w:lang w:val="es-BO"/>
        </w:rPr>
        <w:t>1968; 1977) provocado por el exceso de demanda, determinado por la política monetaria. Segundo, el BC tiene tuición y control o al menos aproximar la tasa natural de interés porque controla la tasa de interés de corto plazo, en efecto, si r</w:t>
      </w:r>
      <w:r w:rsidRPr="00FD1DC0">
        <w:rPr>
          <w:rFonts w:ascii="Times New Roman" w:hAnsi="Times New Roman" w:cs="Times New Roman"/>
          <w:szCs w:val="24"/>
          <w:vertAlign w:val="subscript"/>
          <w:lang w:val="es-BO"/>
        </w:rPr>
        <w:t>t</w:t>
      </w:r>
      <w:r w:rsidRPr="00FD1DC0">
        <w:rPr>
          <w:rFonts w:ascii="Times New Roman" w:hAnsi="Times New Roman" w:cs="Times New Roman"/>
          <w:szCs w:val="24"/>
          <w:lang w:val="es-BO"/>
        </w:rPr>
        <w:t xml:space="preserve"> ≠ r* sólo habrá efectos inflacionarios, la política monetaria no tiene efectos sobre la actividad económica. Por medio de varios procesos de ensayo-error el mecanismo de la tasa de interés asegurará la convergencia hacia el objetivo de inflación. De esto se infiere una característica importante del nuevo paradigma monetario: el ROI supone que después de un período de choques (incrementos) de tasa de interés con efectos recesivos de corto plazo para alcanzar el objetivo de inflación, la economía regresara a la trayectoria de la capacidad productiva potencial de largo plazo.</w:t>
      </w:r>
    </w:p>
    <w:p w14:paraId="34BE782C" w14:textId="364B5F44" w:rsidR="00F153E3" w:rsidRPr="00FD1DC0" w:rsidRDefault="00347D46" w:rsidP="00CD0585">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 xml:space="preserve">Por último, el esquema macroeconómico teórico ROI ofrece ventajas y desventajas a la hora de su aplicabilidad en economías en vías de desarrollo latinoamericanas, por ejemplo, </w:t>
      </w:r>
      <w:r w:rsidR="007D0380" w:rsidRPr="00FD1DC0">
        <w:rPr>
          <w:rFonts w:ascii="Times New Roman" w:hAnsi="Times New Roman" w:cs="Times New Roman"/>
          <w:szCs w:val="24"/>
          <w:lang w:val="es-BO"/>
        </w:rPr>
        <w:t>Mishkin y Schmidt-Hebbel (2007</w:t>
      </w:r>
      <w:r w:rsidRPr="00FD1DC0">
        <w:rPr>
          <w:rFonts w:ascii="Times New Roman" w:hAnsi="Times New Roman" w:cs="Times New Roman"/>
          <w:szCs w:val="24"/>
          <w:lang w:val="es-BO"/>
        </w:rPr>
        <w:t>) sostienen</w:t>
      </w:r>
      <w:r w:rsidR="007D0380" w:rsidRPr="00FD1DC0">
        <w:rPr>
          <w:rFonts w:ascii="Times New Roman" w:hAnsi="Times New Roman" w:cs="Times New Roman"/>
          <w:szCs w:val="24"/>
          <w:lang w:val="es-BO"/>
        </w:rPr>
        <w:t xml:space="preserve"> que entre l</w:t>
      </w:r>
      <w:r w:rsidRPr="00FD1DC0">
        <w:rPr>
          <w:rFonts w:ascii="Times New Roman" w:hAnsi="Times New Roman" w:cs="Times New Roman"/>
          <w:szCs w:val="24"/>
          <w:lang w:val="es-BO"/>
        </w:rPr>
        <w:t>as principales ventajas</w:t>
      </w:r>
      <w:r w:rsidR="00E23A37" w:rsidRPr="00FD1DC0">
        <w:rPr>
          <w:rFonts w:ascii="Times New Roman" w:hAnsi="Times New Roman" w:cs="Times New Roman"/>
          <w:szCs w:val="24"/>
          <w:lang w:val="es-BO"/>
        </w:rPr>
        <w:t xml:space="preserve"> y las razones principales del porque hasta la fecha se sigue aplicando el esquema de objetivos de inflación, como principal mecanismo de</w:t>
      </w:r>
      <w:r w:rsidRPr="00FD1DC0">
        <w:rPr>
          <w:rFonts w:ascii="Times New Roman" w:hAnsi="Times New Roman" w:cs="Times New Roman"/>
          <w:szCs w:val="24"/>
          <w:lang w:val="es-BO"/>
        </w:rPr>
        <w:t xml:space="preserve"> política monetaria son las siguientes</w:t>
      </w:r>
      <w:r w:rsidR="002B7A0A" w:rsidRPr="00FD1DC0">
        <w:rPr>
          <w:rFonts w:ascii="Times New Roman" w:hAnsi="Times New Roman" w:cs="Times New Roman"/>
          <w:szCs w:val="24"/>
          <w:lang w:val="es-BO"/>
        </w:rPr>
        <w:t>:</w:t>
      </w:r>
      <w:r w:rsidRPr="00FD1DC0">
        <w:rPr>
          <w:rFonts w:ascii="Times New Roman" w:hAnsi="Times New Roman" w:cs="Times New Roman"/>
          <w:szCs w:val="24"/>
          <w:lang w:val="es-BO"/>
        </w:rPr>
        <w:t xml:space="preserve"> i) Exitosa en términos de reducción de altas tasas de inflación existentes en </w:t>
      </w:r>
      <w:r w:rsidR="002B7A0A" w:rsidRPr="00FD1DC0">
        <w:rPr>
          <w:rFonts w:ascii="Times New Roman" w:hAnsi="Times New Roman" w:cs="Times New Roman"/>
          <w:szCs w:val="24"/>
          <w:lang w:val="es-BO"/>
        </w:rPr>
        <w:t>Latinoamérica</w:t>
      </w:r>
      <w:r w:rsidRPr="00FD1DC0">
        <w:rPr>
          <w:rFonts w:ascii="Times New Roman" w:hAnsi="Times New Roman" w:cs="Times New Roman"/>
          <w:szCs w:val="24"/>
          <w:lang w:val="es-BO"/>
        </w:rPr>
        <w:t xml:space="preserve"> antes de la aplicación del ROI</w:t>
      </w:r>
      <w:r w:rsidR="00E23A37" w:rsidRPr="00FD1DC0">
        <w:rPr>
          <w:rFonts w:ascii="Times New Roman" w:hAnsi="Times New Roman" w:cs="Times New Roman"/>
          <w:szCs w:val="24"/>
          <w:lang w:val="es-BO"/>
        </w:rPr>
        <w:t xml:space="preserve"> (resulta que varios países latinoamericanos antes de la aplicación del ROI, como es el caso de México y Brasil venían trayendo consigo mismo altas tasas de inflación</w:t>
      </w:r>
      <w:r w:rsidR="00EE5396" w:rsidRPr="00FD1DC0">
        <w:rPr>
          <w:rFonts w:ascii="Times New Roman" w:hAnsi="Times New Roman" w:cs="Times New Roman"/>
          <w:szCs w:val="24"/>
          <w:lang w:val="es-BO"/>
        </w:rPr>
        <w:t>, por ejemplo México en 1994 cerró con una tasa de inflación de 51.97% y Brasil el mismo año cerro con una tasa de 66.01%</w:t>
      </w:r>
      <w:r w:rsidR="00F0147C" w:rsidRPr="00FD1DC0">
        <w:rPr>
          <w:rFonts w:ascii="Times New Roman" w:hAnsi="Times New Roman" w:cs="Times New Roman"/>
          <w:szCs w:val="24"/>
          <w:lang w:val="es-BO"/>
        </w:rPr>
        <w:t>, mejorando gradualmente estos resultados macroeconómicos después de la aplicación del ROI</w:t>
      </w:r>
      <w:r w:rsidR="00EE5396" w:rsidRPr="00FD1DC0">
        <w:rPr>
          <w:rFonts w:ascii="Times New Roman" w:hAnsi="Times New Roman" w:cs="Times New Roman"/>
          <w:szCs w:val="24"/>
          <w:lang w:val="es-BO"/>
        </w:rPr>
        <w:t>)</w:t>
      </w:r>
      <w:r w:rsidR="002B7A0A" w:rsidRPr="00FD1DC0">
        <w:rPr>
          <w:rFonts w:ascii="Times New Roman" w:hAnsi="Times New Roman" w:cs="Times New Roman"/>
          <w:szCs w:val="24"/>
          <w:lang w:val="es-BO"/>
        </w:rPr>
        <w:t xml:space="preserve">;  ii) Ayuda de sobremanera a </w:t>
      </w:r>
      <w:r w:rsidRPr="00FD1DC0">
        <w:rPr>
          <w:rFonts w:ascii="Times New Roman" w:hAnsi="Times New Roman" w:cs="Times New Roman"/>
          <w:szCs w:val="24"/>
          <w:lang w:val="es-BO"/>
        </w:rPr>
        <w:t xml:space="preserve">mitigar  los  efectos  negativos  de  los  choques  externos, </w:t>
      </w:r>
      <w:r w:rsidR="002B7A0A" w:rsidRPr="00FD1DC0">
        <w:rPr>
          <w:rFonts w:ascii="Times New Roman" w:hAnsi="Times New Roman" w:cs="Times New Roman"/>
          <w:szCs w:val="24"/>
          <w:lang w:val="es-BO"/>
        </w:rPr>
        <w:t>específicamente los que se derivan del  precio  del  petróleo  y  del  tipo  de  cambio, el primero al ser una variable altamente volátil, macroeconómicamente sino se la controla podría provocar un choque de oferta (más conocido como el efecto Keynes, pudiendo provocar Estanflación, si la misma no es controlada a tiempo);  iii) refuerza la independencia de la política monetaria  y mejora su eficiencia; y iv) En los primeros años de aplicabilidad y a la fecha, permite en la mayoría de los casos obtener un nivel de inflación muy cercano a la meta proyectada (rango y/o puntual).  Sin embargo, los autores enfáticamente argumentan que no está del todo claro si el funcionamiento de la política monetaria en los países que han adoptado el esquema de ROI, supera al de la política monetaria en los países que no lo han adoptado.</w:t>
      </w:r>
    </w:p>
    <w:p w14:paraId="4CE7E8FF" w14:textId="6BBD4322" w:rsidR="007D0380" w:rsidRPr="00FD1DC0" w:rsidRDefault="00F153E3" w:rsidP="00CD0585">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No obstante, si bien hasta la fecha el esquema ROI ha gozado de popularidad en términos de reducción de la inflación y es una de las razones por las cuales las autoridades monetarias de varios países</w:t>
      </w:r>
      <w:r w:rsidR="00F935CE" w:rsidRPr="00FD1DC0">
        <w:rPr>
          <w:rFonts w:ascii="Times New Roman" w:hAnsi="Times New Roman" w:cs="Times New Roman"/>
          <w:szCs w:val="24"/>
          <w:lang w:val="es-BO"/>
        </w:rPr>
        <w:t xml:space="preserve"> en desarrollo aú</w:t>
      </w:r>
      <w:r w:rsidRPr="00FD1DC0">
        <w:rPr>
          <w:rFonts w:ascii="Times New Roman" w:hAnsi="Times New Roman" w:cs="Times New Roman"/>
          <w:szCs w:val="24"/>
          <w:lang w:val="es-BO"/>
        </w:rPr>
        <w:t xml:space="preserve">n todavía la aplican por estar sujetos a políticas ortodoxas de carácter monetario, pese a un desempeño negativo sobre variables reales (crecimiento económico, </w:t>
      </w:r>
      <w:r w:rsidR="00F935CE" w:rsidRPr="00FD1DC0">
        <w:rPr>
          <w:rFonts w:ascii="Times New Roman" w:hAnsi="Times New Roman" w:cs="Times New Roman"/>
          <w:szCs w:val="24"/>
          <w:lang w:val="es-BO"/>
        </w:rPr>
        <w:t>etc.</w:t>
      </w:r>
      <w:r w:rsidRPr="00FD1DC0">
        <w:rPr>
          <w:rFonts w:ascii="Times New Roman" w:hAnsi="Times New Roman" w:cs="Times New Roman"/>
          <w:szCs w:val="24"/>
          <w:lang w:val="es-BO"/>
        </w:rPr>
        <w:t>)</w:t>
      </w:r>
      <w:r w:rsidR="00F935CE" w:rsidRPr="00FD1DC0">
        <w:rPr>
          <w:rFonts w:ascii="Times New Roman" w:hAnsi="Times New Roman" w:cs="Times New Roman"/>
          <w:szCs w:val="24"/>
          <w:lang w:val="es-BO"/>
        </w:rPr>
        <w:t>,</w:t>
      </w:r>
      <w:r w:rsidR="007D0380" w:rsidRPr="00FD1DC0">
        <w:rPr>
          <w:rFonts w:ascii="Times New Roman" w:hAnsi="Times New Roman" w:cs="Times New Roman"/>
          <w:szCs w:val="24"/>
          <w:lang w:val="es-BO"/>
        </w:rPr>
        <w:t xml:space="preserve"> persisten  aún  dudas </w:t>
      </w:r>
      <w:r w:rsidR="00344C52" w:rsidRPr="00FD1DC0">
        <w:rPr>
          <w:rFonts w:ascii="Times New Roman" w:hAnsi="Times New Roman" w:cs="Times New Roman"/>
          <w:szCs w:val="24"/>
          <w:lang w:val="es-BO"/>
        </w:rPr>
        <w:t>funda</w:t>
      </w:r>
      <w:r w:rsidR="00F935CE" w:rsidRPr="00FD1DC0">
        <w:rPr>
          <w:rFonts w:ascii="Times New Roman" w:hAnsi="Times New Roman" w:cs="Times New Roman"/>
          <w:szCs w:val="24"/>
          <w:lang w:val="es-BO"/>
        </w:rPr>
        <w:t xml:space="preserve">das  sobre  su  efectividad  y posibles alcances, e incluso sobre sus efectos colaterales </w:t>
      </w:r>
      <w:r w:rsidR="00344C52" w:rsidRPr="00FD1DC0">
        <w:rPr>
          <w:rFonts w:ascii="Times New Roman" w:hAnsi="Times New Roman" w:cs="Times New Roman"/>
          <w:szCs w:val="24"/>
          <w:lang w:val="es-BO"/>
        </w:rPr>
        <w:t>(Galindo y Ros</w:t>
      </w:r>
      <w:r w:rsidR="00147ADF" w:rsidRPr="00FD1DC0">
        <w:rPr>
          <w:rFonts w:ascii="Times New Roman" w:hAnsi="Times New Roman" w:cs="Times New Roman"/>
          <w:szCs w:val="24"/>
          <w:lang w:val="es-BO"/>
        </w:rPr>
        <w:t>,</w:t>
      </w:r>
      <w:r w:rsidR="00344C52" w:rsidRPr="00FD1DC0">
        <w:rPr>
          <w:rFonts w:ascii="Times New Roman" w:hAnsi="Times New Roman" w:cs="Times New Roman"/>
          <w:szCs w:val="24"/>
          <w:lang w:val="es-BO"/>
        </w:rPr>
        <w:t xml:space="preserve"> 2006). Así, por ejemplo, </w:t>
      </w:r>
      <w:r w:rsidR="00147ADF" w:rsidRPr="00FD1DC0">
        <w:rPr>
          <w:rFonts w:ascii="Times New Roman" w:hAnsi="Times New Roman" w:cs="Times New Roman"/>
          <w:szCs w:val="24"/>
          <w:lang w:val="es-BO"/>
        </w:rPr>
        <w:t xml:space="preserve">(Fraga, Goldfajn y Minella, </w:t>
      </w:r>
      <w:r w:rsidR="00344C52" w:rsidRPr="00FD1DC0">
        <w:rPr>
          <w:rFonts w:ascii="Times New Roman" w:hAnsi="Times New Roman" w:cs="Times New Roman"/>
          <w:szCs w:val="24"/>
          <w:lang w:val="es-BO"/>
        </w:rPr>
        <w:t xml:space="preserve">2003), y </w:t>
      </w:r>
      <w:r w:rsidR="00147ADF" w:rsidRPr="00FD1DC0">
        <w:rPr>
          <w:rFonts w:ascii="Times New Roman" w:hAnsi="Times New Roman" w:cs="Times New Roman"/>
          <w:szCs w:val="24"/>
          <w:lang w:val="es-BO"/>
        </w:rPr>
        <w:t>(</w:t>
      </w:r>
      <w:r w:rsidR="00344C52" w:rsidRPr="00FD1DC0">
        <w:rPr>
          <w:rFonts w:ascii="Times New Roman" w:hAnsi="Times New Roman" w:cs="Times New Roman"/>
          <w:szCs w:val="24"/>
          <w:lang w:val="es-BO"/>
        </w:rPr>
        <w:t xml:space="preserve">Calvo y </w:t>
      </w:r>
      <w:r w:rsidR="00147ADF" w:rsidRPr="00FD1DC0">
        <w:rPr>
          <w:rFonts w:ascii="Times New Roman" w:hAnsi="Times New Roman" w:cs="Times New Roman"/>
          <w:szCs w:val="24"/>
          <w:lang w:val="es-BO"/>
        </w:rPr>
        <w:t xml:space="preserve">Mishkin, </w:t>
      </w:r>
      <w:r w:rsidR="00344C52" w:rsidRPr="00FD1DC0">
        <w:rPr>
          <w:rFonts w:ascii="Times New Roman" w:hAnsi="Times New Roman" w:cs="Times New Roman"/>
          <w:szCs w:val="24"/>
          <w:lang w:val="es-BO"/>
        </w:rPr>
        <w:t>2003) argumentan</w:t>
      </w:r>
      <w:r w:rsidRPr="00FD1DC0">
        <w:rPr>
          <w:rFonts w:ascii="Times New Roman" w:hAnsi="Times New Roman" w:cs="Times New Roman"/>
          <w:szCs w:val="24"/>
          <w:lang w:val="es-BO"/>
        </w:rPr>
        <w:t xml:space="preserve"> </w:t>
      </w:r>
      <w:r w:rsidR="00F935CE" w:rsidRPr="00FD1DC0">
        <w:rPr>
          <w:rFonts w:ascii="Times New Roman" w:hAnsi="Times New Roman" w:cs="Times New Roman"/>
          <w:szCs w:val="24"/>
          <w:lang w:val="es-BO"/>
        </w:rPr>
        <w:t>que,</w:t>
      </w:r>
      <w:r w:rsidRPr="00FD1DC0">
        <w:rPr>
          <w:rFonts w:ascii="Times New Roman" w:hAnsi="Times New Roman" w:cs="Times New Roman"/>
          <w:szCs w:val="24"/>
          <w:lang w:val="es-BO"/>
        </w:rPr>
        <w:t xml:space="preserve"> bajo la presencia de choques fiscales y externos, las autoridades monetarias de economías latinoamericanas</w:t>
      </w:r>
      <w:r w:rsidR="00F935CE" w:rsidRPr="00FD1DC0">
        <w:rPr>
          <w:rFonts w:ascii="Times New Roman" w:hAnsi="Times New Roman" w:cs="Times New Roman"/>
          <w:szCs w:val="24"/>
          <w:lang w:val="es-BO"/>
        </w:rPr>
        <w:t xml:space="preserve"> el</w:t>
      </w:r>
      <w:r w:rsidR="00344C52" w:rsidRPr="00FD1DC0">
        <w:rPr>
          <w:rFonts w:ascii="Times New Roman" w:hAnsi="Times New Roman" w:cs="Times New Roman"/>
          <w:szCs w:val="24"/>
          <w:lang w:val="es-BO"/>
        </w:rPr>
        <w:t xml:space="preserve"> </w:t>
      </w:r>
      <w:r w:rsidR="00F935CE" w:rsidRPr="00FD1DC0">
        <w:rPr>
          <w:rFonts w:ascii="Times New Roman" w:hAnsi="Times New Roman" w:cs="Times New Roman"/>
          <w:szCs w:val="24"/>
          <w:lang w:val="es-BO"/>
        </w:rPr>
        <w:t>esquema</w:t>
      </w:r>
      <w:r w:rsidR="00344C52" w:rsidRPr="00FD1DC0">
        <w:rPr>
          <w:rFonts w:ascii="Times New Roman" w:hAnsi="Times New Roman" w:cs="Times New Roman"/>
          <w:szCs w:val="24"/>
          <w:lang w:val="es-BO"/>
        </w:rPr>
        <w:t xml:space="preserve"> </w:t>
      </w:r>
      <w:r w:rsidR="00F935CE" w:rsidRPr="00FD1DC0">
        <w:rPr>
          <w:rFonts w:ascii="Times New Roman" w:hAnsi="Times New Roman" w:cs="Times New Roman"/>
          <w:szCs w:val="24"/>
          <w:lang w:val="es-BO"/>
        </w:rPr>
        <w:t>R</w:t>
      </w:r>
      <w:r w:rsidR="00344C52" w:rsidRPr="00FD1DC0">
        <w:rPr>
          <w:rFonts w:ascii="Times New Roman" w:hAnsi="Times New Roman" w:cs="Times New Roman"/>
          <w:szCs w:val="24"/>
          <w:lang w:val="es-BO"/>
        </w:rPr>
        <w:t xml:space="preserve">OI </w:t>
      </w:r>
      <w:r w:rsidR="00F935CE" w:rsidRPr="00FD1DC0">
        <w:rPr>
          <w:rFonts w:ascii="Times New Roman" w:hAnsi="Times New Roman" w:cs="Times New Roman"/>
          <w:szCs w:val="24"/>
          <w:lang w:val="es-BO"/>
        </w:rPr>
        <w:t xml:space="preserve">no podría alcanzar la inflación proyectada y este aspecto se acentuaría con mayor profundidad considerando que economías latinoamericanas se caracterizan por tener un alto traspaso cambiario, posibles cambios importantes en los flujos de capitales, con mercados financieros imperfectos e instituciones monetarias y financieras débiles, y probablemente un régimen fiscal débil.  </w:t>
      </w:r>
    </w:p>
    <w:p w14:paraId="0CB39E71" w14:textId="2EA5295C" w:rsidR="007344E1" w:rsidRPr="00FD1DC0" w:rsidRDefault="00C97EF8" w:rsidP="008D25A4">
      <w:pPr>
        <w:spacing w:after="0" w:line="360" w:lineRule="auto"/>
        <w:ind w:left="50" w:right="0" w:firstLine="0"/>
        <w:jc w:val="left"/>
        <w:rPr>
          <w:b/>
          <w:lang w:val="es-BO"/>
        </w:rPr>
      </w:pPr>
      <w:r>
        <w:rPr>
          <w:b/>
          <w:lang w:val="es-BO"/>
        </w:rPr>
        <w:t>1.</w:t>
      </w:r>
      <w:r w:rsidR="007344E1" w:rsidRPr="00FD1DC0">
        <w:rPr>
          <w:b/>
          <w:lang w:val="es-BO"/>
        </w:rPr>
        <w:t>2 Mecanismos de Transmisión de Política Monetaria</w:t>
      </w:r>
    </w:p>
    <w:p w14:paraId="3C37E896" w14:textId="71E8CF24" w:rsidR="005D29AB" w:rsidRPr="00FD1DC0" w:rsidRDefault="008A7F6D" w:rsidP="008D25A4">
      <w:pPr>
        <w:spacing w:after="0" w:line="360" w:lineRule="auto"/>
        <w:ind w:left="51" w:right="0" w:firstLine="0"/>
        <w:rPr>
          <w:rFonts w:ascii="Times New Roman" w:hAnsi="Times New Roman" w:cs="Times New Roman"/>
          <w:lang w:val="es-BO"/>
        </w:rPr>
      </w:pPr>
      <w:r w:rsidRPr="00FD1DC0">
        <w:rPr>
          <w:rFonts w:ascii="Times New Roman" w:hAnsi="Times New Roman" w:cs="Times New Roman"/>
          <w:lang w:val="es-BO"/>
        </w:rPr>
        <w:t>Siguiendo</w:t>
      </w:r>
      <w:r w:rsidR="008B4774" w:rsidRPr="00FD1DC0">
        <w:rPr>
          <w:rFonts w:ascii="Times New Roman" w:hAnsi="Times New Roman" w:cs="Times New Roman"/>
          <w:lang w:val="es-BO"/>
        </w:rPr>
        <w:t xml:space="preserve"> a (Svensson, </w:t>
      </w:r>
      <w:r w:rsidR="00876BDC" w:rsidRPr="00FD1DC0">
        <w:rPr>
          <w:rFonts w:ascii="Times New Roman" w:hAnsi="Times New Roman" w:cs="Times New Roman"/>
          <w:lang w:val="es-BO"/>
        </w:rPr>
        <w:t xml:space="preserve">1998), </w:t>
      </w:r>
      <w:r w:rsidRPr="00FD1DC0">
        <w:rPr>
          <w:rFonts w:ascii="Times New Roman" w:hAnsi="Times New Roman" w:cs="Times New Roman"/>
          <w:lang w:val="es-BO"/>
        </w:rPr>
        <w:t>tomando en cuenta</w:t>
      </w:r>
      <w:r w:rsidR="00876BDC" w:rsidRPr="00FD1DC0">
        <w:rPr>
          <w:rFonts w:ascii="Times New Roman" w:hAnsi="Times New Roman" w:cs="Times New Roman"/>
          <w:lang w:val="es-BO"/>
        </w:rPr>
        <w:t xml:space="preserve"> una economía cerrada existen dos canales </w:t>
      </w:r>
      <w:r w:rsidRPr="00FD1DC0">
        <w:rPr>
          <w:rFonts w:ascii="Times New Roman" w:hAnsi="Times New Roman" w:cs="Times New Roman"/>
          <w:lang w:val="es-BO"/>
        </w:rPr>
        <w:t>de transmisión de</w:t>
      </w:r>
      <w:r w:rsidR="00876BDC" w:rsidRPr="00FD1DC0">
        <w:rPr>
          <w:rFonts w:ascii="Times New Roman" w:hAnsi="Times New Roman" w:cs="Times New Roman"/>
          <w:lang w:val="es-BO"/>
        </w:rPr>
        <w:t xml:space="preserve"> política monetaria</w:t>
      </w:r>
      <w:r w:rsidR="0025404A" w:rsidRPr="00FD1DC0">
        <w:rPr>
          <w:rFonts w:ascii="Times New Roman" w:hAnsi="Times New Roman" w:cs="Times New Roman"/>
          <w:lang w:val="es-BO"/>
        </w:rPr>
        <w:t>:</w:t>
      </w:r>
      <w:r w:rsidR="00876BDC" w:rsidRPr="00FD1DC0">
        <w:rPr>
          <w:rFonts w:ascii="Times New Roman" w:hAnsi="Times New Roman" w:cs="Times New Roman"/>
          <w:lang w:val="es-BO"/>
        </w:rPr>
        <w:t xml:space="preserve"> el primero es un canal de demanda agregada y el </w:t>
      </w:r>
      <w:r w:rsidR="00D344C0" w:rsidRPr="00FD1DC0">
        <w:rPr>
          <w:rFonts w:ascii="Times New Roman" w:hAnsi="Times New Roman" w:cs="Times New Roman"/>
          <w:lang w:val="es-BO"/>
        </w:rPr>
        <w:t>segundo</w:t>
      </w:r>
      <w:r w:rsidR="00876BDC" w:rsidRPr="00FD1DC0">
        <w:rPr>
          <w:rFonts w:ascii="Times New Roman" w:hAnsi="Times New Roman" w:cs="Times New Roman"/>
          <w:lang w:val="es-BO"/>
        </w:rPr>
        <w:t xml:space="preserve"> canal es de </w:t>
      </w:r>
      <w:r w:rsidR="00D344C0" w:rsidRPr="00FD1DC0">
        <w:rPr>
          <w:rFonts w:ascii="Times New Roman" w:hAnsi="Times New Roman" w:cs="Times New Roman"/>
          <w:lang w:val="es-BO"/>
        </w:rPr>
        <w:t>expectativas. En</w:t>
      </w:r>
      <w:r w:rsidR="00876BDC" w:rsidRPr="00FD1DC0">
        <w:rPr>
          <w:rFonts w:ascii="Times New Roman" w:hAnsi="Times New Roman" w:cs="Times New Roman"/>
          <w:lang w:val="es-BO"/>
        </w:rPr>
        <w:t xml:space="preserve"> el primer canal las autoridades monetarias </w:t>
      </w:r>
      <w:r w:rsidR="00D344C0" w:rsidRPr="00FD1DC0">
        <w:rPr>
          <w:rFonts w:ascii="Times New Roman" w:hAnsi="Times New Roman" w:cs="Times New Roman"/>
          <w:lang w:val="es-BO"/>
        </w:rPr>
        <w:t>pueden provocar cambios</w:t>
      </w:r>
      <w:r w:rsidR="00876BDC" w:rsidRPr="00FD1DC0">
        <w:rPr>
          <w:rFonts w:ascii="Times New Roman" w:hAnsi="Times New Roman" w:cs="Times New Roman"/>
          <w:lang w:val="es-BO"/>
        </w:rPr>
        <w:t xml:space="preserve"> en la demanda agregada por medio de la tasa de interés real, la razón se debe a que m</w:t>
      </w:r>
      <w:r w:rsidR="00D344C0" w:rsidRPr="00FD1DC0">
        <w:rPr>
          <w:rFonts w:ascii="Times New Roman" w:hAnsi="Times New Roman" w:cs="Times New Roman"/>
          <w:lang w:val="es-BO"/>
        </w:rPr>
        <w:t>ovimientos de costo del dinero provocan alteraciones</w:t>
      </w:r>
      <w:r w:rsidR="00876BDC" w:rsidRPr="00FD1DC0">
        <w:rPr>
          <w:rFonts w:ascii="Times New Roman" w:hAnsi="Times New Roman" w:cs="Times New Roman"/>
          <w:lang w:val="es-BO"/>
        </w:rPr>
        <w:t xml:space="preserve"> </w:t>
      </w:r>
      <w:r w:rsidR="00D344C0" w:rsidRPr="00FD1DC0">
        <w:rPr>
          <w:rFonts w:ascii="Times New Roman" w:hAnsi="Times New Roman" w:cs="Times New Roman"/>
          <w:lang w:val="es-BO"/>
        </w:rPr>
        <w:t xml:space="preserve">en el </w:t>
      </w:r>
      <w:r w:rsidR="00876BDC" w:rsidRPr="00FD1DC0">
        <w:rPr>
          <w:rFonts w:ascii="Times New Roman" w:hAnsi="Times New Roman" w:cs="Times New Roman"/>
          <w:lang w:val="es-BO"/>
        </w:rPr>
        <w:t>ahorro y c</w:t>
      </w:r>
      <w:r w:rsidR="00D344C0" w:rsidRPr="00FD1DC0">
        <w:rPr>
          <w:rFonts w:ascii="Times New Roman" w:hAnsi="Times New Roman" w:cs="Times New Roman"/>
          <w:lang w:val="es-BO"/>
        </w:rPr>
        <w:t>onsumo.</w:t>
      </w:r>
    </w:p>
    <w:p w14:paraId="16DA8925" w14:textId="3032C7D0" w:rsidR="00443A23" w:rsidRPr="00FD1DC0" w:rsidRDefault="005D29AB" w:rsidP="008D25A4">
      <w:pPr>
        <w:spacing w:after="0" w:line="360" w:lineRule="auto"/>
        <w:ind w:left="51" w:right="0" w:firstLine="0"/>
        <w:rPr>
          <w:rFonts w:ascii="Times New Roman" w:hAnsi="Times New Roman" w:cs="Times New Roman"/>
          <w:lang w:val="es-BO"/>
        </w:rPr>
      </w:pPr>
      <w:r w:rsidRPr="00FD1DC0">
        <w:rPr>
          <w:rFonts w:ascii="Times New Roman" w:hAnsi="Times New Roman" w:cs="Times New Roman"/>
          <w:lang w:val="es-BO"/>
        </w:rPr>
        <w:t xml:space="preserve">De tal forma, </w:t>
      </w:r>
      <w:r w:rsidR="00D344C0" w:rsidRPr="00FD1DC0">
        <w:rPr>
          <w:rFonts w:ascii="Times New Roman" w:hAnsi="Times New Roman" w:cs="Times New Roman"/>
          <w:lang w:val="es-BO"/>
        </w:rPr>
        <w:t>cambios en</w:t>
      </w:r>
      <w:r w:rsidRPr="00FD1DC0">
        <w:rPr>
          <w:rFonts w:ascii="Times New Roman" w:hAnsi="Times New Roman" w:cs="Times New Roman"/>
          <w:lang w:val="es-BO"/>
        </w:rPr>
        <w:t xml:space="preserve"> la tasa de interés </w:t>
      </w:r>
      <w:r w:rsidR="00D344C0" w:rsidRPr="00FD1DC0">
        <w:rPr>
          <w:rFonts w:ascii="Times New Roman" w:hAnsi="Times New Roman" w:cs="Times New Roman"/>
          <w:lang w:val="es-BO"/>
        </w:rPr>
        <w:t xml:space="preserve">provocan cambios con un rezago </w:t>
      </w:r>
      <w:r w:rsidRPr="00FD1DC0">
        <w:rPr>
          <w:rFonts w:ascii="Times New Roman" w:hAnsi="Times New Roman" w:cs="Times New Roman"/>
          <w:lang w:val="es-BO"/>
        </w:rPr>
        <w:t>e</w:t>
      </w:r>
      <w:r w:rsidR="00D344C0" w:rsidRPr="00FD1DC0">
        <w:rPr>
          <w:rFonts w:ascii="Times New Roman" w:hAnsi="Times New Roman" w:cs="Times New Roman"/>
          <w:lang w:val="es-BO"/>
        </w:rPr>
        <w:t>n</w:t>
      </w:r>
      <w:r w:rsidRPr="00FD1DC0">
        <w:rPr>
          <w:rFonts w:ascii="Times New Roman" w:hAnsi="Times New Roman" w:cs="Times New Roman"/>
          <w:lang w:val="es-BO"/>
        </w:rPr>
        <w:t xml:space="preserve"> la deman</w:t>
      </w:r>
      <w:r w:rsidR="00D344C0" w:rsidRPr="00FD1DC0">
        <w:rPr>
          <w:rFonts w:ascii="Times New Roman" w:hAnsi="Times New Roman" w:cs="Times New Roman"/>
          <w:lang w:val="es-BO"/>
        </w:rPr>
        <w:t>da agregada</w:t>
      </w:r>
      <w:r w:rsidRPr="00FD1DC0">
        <w:rPr>
          <w:rFonts w:ascii="Times New Roman" w:hAnsi="Times New Roman" w:cs="Times New Roman"/>
          <w:lang w:val="es-BO"/>
        </w:rPr>
        <w:t xml:space="preserve">, y seguidamente la demanda agregada </w:t>
      </w:r>
      <w:r w:rsidR="00D344C0" w:rsidRPr="00FD1DC0">
        <w:rPr>
          <w:rFonts w:ascii="Times New Roman" w:hAnsi="Times New Roman" w:cs="Times New Roman"/>
          <w:lang w:val="es-BO"/>
        </w:rPr>
        <w:t>influye en</w:t>
      </w:r>
      <w:r w:rsidRPr="00FD1DC0">
        <w:rPr>
          <w:rFonts w:ascii="Times New Roman" w:hAnsi="Times New Roman" w:cs="Times New Roman"/>
          <w:lang w:val="es-BO"/>
        </w:rPr>
        <w:t xml:space="preserve"> la tasa </w:t>
      </w:r>
      <w:r w:rsidR="00443A23" w:rsidRPr="00FD1DC0">
        <w:rPr>
          <w:rFonts w:ascii="Times New Roman" w:hAnsi="Times New Roman" w:cs="Times New Roman"/>
          <w:lang w:val="es-BO"/>
        </w:rPr>
        <w:t xml:space="preserve">de inflación </w:t>
      </w:r>
      <w:r w:rsidRPr="00FD1DC0">
        <w:rPr>
          <w:rFonts w:ascii="Times New Roman" w:hAnsi="Times New Roman" w:cs="Times New Roman"/>
          <w:lang w:val="es-BO"/>
        </w:rPr>
        <w:t xml:space="preserve">por medio de otro rezago. Por lo tanto, la política </w:t>
      </w:r>
      <w:r w:rsidR="00D344C0" w:rsidRPr="00FD1DC0">
        <w:rPr>
          <w:rFonts w:ascii="Times New Roman" w:hAnsi="Times New Roman" w:cs="Times New Roman"/>
          <w:lang w:val="es-BO"/>
        </w:rPr>
        <w:t>monetaria por medio</w:t>
      </w:r>
      <w:r w:rsidRPr="00FD1DC0">
        <w:rPr>
          <w:rFonts w:ascii="Times New Roman" w:hAnsi="Times New Roman" w:cs="Times New Roman"/>
          <w:lang w:val="es-BO"/>
        </w:rPr>
        <w:t xml:space="preserve"> </w:t>
      </w:r>
      <w:r w:rsidR="00D344C0" w:rsidRPr="00FD1DC0">
        <w:rPr>
          <w:rFonts w:ascii="Times New Roman" w:hAnsi="Times New Roman" w:cs="Times New Roman"/>
          <w:lang w:val="es-BO"/>
        </w:rPr>
        <w:t>d</w:t>
      </w:r>
      <w:r w:rsidRPr="00FD1DC0">
        <w:rPr>
          <w:rFonts w:ascii="Times New Roman" w:hAnsi="Times New Roman" w:cs="Times New Roman"/>
          <w:lang w:val="es-BO"/>
        </w:rPr>
        <w:t xml:space="preserve">el canal de demanda agregada afecta en la tasa de inflación con dos rezagos, básicamente podría sintetizarse en una Curva de Phillips. Por otro lado, el canal de las expectativas permite a la política monetaria </w:t>
      </w:r>
      <w:r w:rsidR="004C0FFB" w:rsidRPr="00FD1DC0">
        <w:rPr>
          <w:rFonts w:ascii="Times New Roman" w:hAnsi="Times New Roman" w:cs="Times New Roman"/>
          <w:lang w:val="es-BO"/>
        </w:rPr>
        <w:t>provocar cambios</w:t>
      </w:r>
      <w:r w:rsidRPr="00FD1DC0">
        <w:rPr>
          <w:rFonts w:ascii="Times New Roman" w:hAnsi="Times New Roman" w:cs="Times New Roman"/>
          <w:lang w:val="es-BO"/>
        </w:rPr>
        <w:t xml:space="preserve"> en la inflación</w:t>
      </w:r>
      <w:r w:rsidR="004C0FFB" w:rsidRPr="00FD1DC0">
        <w:rPr>
          <w:rFonts w:ascii="Times New Roman" w:hAnsi="Times New Roman" w:cs="Times New Roman"/>
          <w:lang w:val="es-BO"/>
        </w:rPr>
        <w:t xml:space="preserve"> esperada,</w:t>
      </w:r>
      <w:r w:rsidRPr="00FD1DC0">
        <w:rPr>
          <w:rFonts w:ascii="Times New Roman" w:hAnsi="Times New Roman" w:cs="Times New Roman"/>
          <w:lang w:val="es-BO"/>
        </w:rPr>
        <w:t xml:space="preserve"> que a su vez afectan en la tasa de inflación con un rezago. Al mismo tiempo esto afecta el comportamiento de algunos precios y salarios que posteriormente</w:t>
      </w:r>
      <w:r w:rsidR="004C0FFB" w:rsidRPr="00FD1DC0">
        <w:rPr>
          <w:rFonts w:ascii="Times New Roman" w:hAnsi="Times New Roman" w:cs="Times New Roman"/>
          <w:lang w:val="es-BO"/>
        </w:rPr>
        <w:t xml:space="preserve"> ejerce su efecto</w:t>
      </w:r>
      <w:r w:rsidRPr="00FD1DC0">
        <w:rPr>
          <w:rFonts w:ascii="Times New Roman" w:hAnsi="Times New Roman" w:cs="Times New Roman"/>
          <w:lang w:val="es-BO"/>
        </w:rPr>
        <w:t xml:space="preserve"> sobre la demanda</w:t>
      </w:r>
      <w:r w:rsidR="004C0FFB" w:rsidRPr="00FD1DC0">
        <w:rPr>
          <w:rFonts w:ascii="Times New Roman" w:hAnsi="Times New Roman" w:cs="Times New Roman"/>
          <w:lang w:val="es-BO"/>
        </w:rPr>
        <w:t>. En conclusión</w:t>
      </w:r>
      <w:r w:rsidRPr="00FD1DC0">
        <w:rPr>
          <w:rFonts w:ascii="Times New Roman" w:hAnsi="Times New Roman" w:cs="Times New Roman"/>
          <w:lang w:val="es-BO"/>
        </w:rPr>
        <w:t xml:space="preserve">, ambos canales permiten a la política monetaria </w:t>
      </w:r>
      <w:r w:rsidR="004C0FFB" w:rsidRPr="00FD1DC0">
        <w:rPr>
          <w:rFonts w:ascii="Times New Roman" w:hAnsi="Times New Roman" w:cs="Times New Roman"/>
          <w:lang w:val="es-BO"/>
        </w:rPr>
        <w:t xml:space="preserve">provocar cambios de </w:t>
      </w:r>
      <w:r w:rsidRPr="00FD1DC0">
        <w:rPr>
          <w:rFonts w:ascii="Times New Roman" w:hAnsi="Times New Roman" w:cs="Times New Roman"/>
          <w:lang w:val="es-BO"/>
        </w:rPr>
        <w:t>la inflación con rezagos.</w:t>
      </w:r>
    </w:p>
    <w:p w14:paraId="33CA9D09" w14:textId="3D9948CB" w:rsidR="007604C5" w:rsidRPr="00FD1DC0" w:rsidRDefault="0038619F" w:rsidP="008D25A4">
      <w:pPr>
        <w:spacing w:after="0" w:line="360" w:lineRule="auto"/>
        <w:ind w:left="51" w:right="0" w:firstLine="0"/>
        <w:rPr>
          <w:rFonts w:ascii="Times New Roman" w:hAnsi="Times New Roman" w:cs="Times New Roman"/>
          <w:lang w:val="es-BO"/>
        </w:rPr>
      </w:pPr>
      <w:r w:rsidRPr="00FD1DC0">
        <w:rPr>
          <w:rFonts w:ascii="Times New Roman" w:hAnsi="Times New Roman" w:cs="Times New Roman"/>
          <w:lang w:val="es-BO"/>
        </w:rPr>
        <w:t xml:space="preserve">En economías abiertas, </w:t>
      </w:r>
      <w:r w:rsidR="0025404A" w:rsidRPr="00FD1DC0">
        <w:rPr>
          <w:rFonts w:ascii="Times New Roman" w:hAnsi="Times New Roman" w:cs="Times New Roman"/>
          <w:lang w:val="es-BO"/>
        </w:rPr>
        <w:t>l</w:t>
      </w:r>
      <w:r w:rsidR="00FC2E53" w:rsidRPr="00FD1DC0">
        <w:rPr>
          <w:rFonts w:ascii="Times New Roman" w:hAnsi="Times New Roman" w:cs="Times New Roman"/>
          <w:lang w:val="es-BO"/>
        </w:rPr>
        <w:t xml:space="preserve">os </w:t>
      </w:r>
      <w:r w:rsidRPr="00FD1DC0">
        <w:rPr>
          <w:rFonts w:ascii="Times New Roman" w:hAnsi="Times New Roman" w:cs="Times New Roman"/>
          <w:lang w:val="es-BO"/>
        </w:rPr>
        <w:t>choques generados en el res</w:t>
      </w:r>
      <w:r w:rsidR="00FC2E53" w:rsidRPr="00FD1DC0">
        <w:rPr>
          <w:rFonts w:ascii="Times New Roman" w:hAnsi="Times New Roman" w:cs="Times New Roman"/>
          <w:lang w:val="es-BO"/>
        </w:rPr>
        <w:t>to del mundo pueden trasladarse</w:t>
      </w:r>
      <w:r w:rsidRPr="00FD1DC0">
        <w:rPr>
          <w:rFonts w:ascii="Times New Roman" w:hAnsi="Times New Roman" w:cs="Times New Roman"/>
          <w:lang w:val="es-BO"/>
        </w:rPr>
        <w:t xml:space="preserve"> </w:t>
      </w:r>
      <w:r w:rsidR="00FC2E53" w:rsidRPr="00FD1DC0">
        <w:rPr>
          <w:rFonts w:ascii="Times New Roman" w:hAnsi="Times New Roman" w:cs="Times New Roman"/>
          <w:lang w:val="es-BO"/>
        </w:rPr>
        <w:t>a los precios internos, a través</w:t>
      </w:r>
      <w:r w:rsidRPr="00FD1DC0">
        <w:rPr>
          <w:rFonts w:ascii="Times New Roman" w:hAnsi="Times New Roman" w:cs="Times New Roman"/>
          <w:lang w:val="es-BO"/>
        </w:rPr>
        <w:t xml:space="preserve"> </w:t>
      </w:r>
      <w:r w:rsidR="00FC2E53" w:rsidRPr="00FD1DC0">
        <w:rPr>
          <w:rFonts w:ascii="Times New Roman" w:hAnsi="Times New Roman" w:cs="Times New Roman"/>
          <w:lang w:val="es-BO"/>
        </w:rPr>
        <w:t>d</w:t>
      </w:r>
      <w:r w:rsidRPr="00FD1DC0">
        <w:rPr>
          <w:rFonts w:ascii="Times New Roman" w:hAnsi="Times New Roman" w:cs="Times New Roman"/>
          <w:lang w:val="es-BO"/>
        </w:rPr>
        <w:t>el tipo</w:t>
      </w:r>
      <w:r w:rsidR="00FC2E53" w:rsidRPr="00FD1DC0">
        <w:rPr>
          <w:rFonts w:ascii="Times New Roman" w:hAnsi="Times New Roman" w:cs="Times New Roman"/>
          <w:lang w:val="es-BO"/>
        </w:rPr>
        <w:t xml:space="preserve"> de cambio. Por lo tanto, es muy importante tomar en cuenta al tipo de cambio como un canal transmisión de la política monetaria adicional. </w:t>
      </w:r>
    </w:p>
    <w:p w14:paraId="03AE660C" w14:textId="449707CB" w:rsidR="00443A23" w:rsidRPr="00FD1DC0" w:rsidRDefault="007604C5" w:rsidP="00DA64FF">
      <w:pPr>
        <w:spacing w:after="0" w:line="360" w:lineRule="auto"/>
        <w:ind w:left="51" w:right="0" w:firstLine="0"/>
        <w:rPr>
          <w:rFonts w:ascii="Times New Roman" w:hAnsi="Times New Roman" w:cs="Times New Roman"/>
          <w:lang w:val="es-BO"/>
        </w:rPr>
      </w:pPr>
      <w:r w:rsidRPr="00FD1DC0">
        <w:rPr>
          <w:rFonts w:ascii="Times New Roman" w:hAnsi="Times New Roman" w:cs="Times New Roman"/>
          <w:lang w:val="es-BO"/>
        </w:rPr>
        <w:t>En esa línea, e</w:t>
      </w:r>
      <w:r w:rsidR="00443A23" w:rsidRPr="00FD1DC0">
        <w:rPr>
          <w:rFonts w:ascii="Times New Roman" w:hAnsi="Times New Roman" w:cs="Times New Roman"/>
          <w:lang w:val="es-BO"/>
        </w:rPr>
        <w:t>l tipo de cambio está determinado por la disparidad entre la tasa de interés nominal interna</w:t>
      </w:r>
      <w:r w:rsidRPr="00FD1DC0">
        <w:rPr>
          <w:rFonts w:ascii="Times New Roman" w:hAnsi="Times New Roman" w:cs="Times New Roman"/>
          <w:lang w:val="es-BO"/>
        </w:rPr>
        <w:t xml:space="preserve"> </w:t>
      </w:r>
      <w:r w:rsidR="008B4774" w:rsidRPr="00FD1DC0">
        <w:rPr>
          <w:rFonts w:ascii="Times New Roman" w:hAnsi="Times New Roman" w:cs="Times New Roman"/>
          <w:lang w:val="es-BO"/>
        </w:rPr>
        <w:t>y externa</w:t>
      </w:r>
      <w:r w:rsidR="003B0315" w:rsidRPr="00FD1DC0">
        <w:rPr>
          <w:rFonts w:ascii="Times New Roman" w:hAnsi="Times New Roman" w:cs="Times New Roman"/>
          <w:lang w:val="es-BO"/>
        </w:rPr>
        <w:t xml:space="preserve">. </w:t>
      </w:r>
      <w:r w:rsidR="00D563E3" w:rsidRPr="00FD1DC0">
        <w:rPr>
          <w:rFonts w:ascii="Times New Roman" w:hAnsi="Times New Roman" w:cs="Times New Roman"/>
          <w:lang w:val="es-BO"/>
        </w:rPr>
        <w:t>Si se toma en cuenta el</w:t>
      </w:r>
      <w:r w:rsidRPr="00FD1DC0">
        <w:rPr>
          <w:rFonts w:ascii="Times New Roman" w:hAnsi="Times New Roman" w:cs="Times New Roman"/>
          <w:lang w:val="es-BO"/>
        </w:rPr>
        <w:t xml:space="preserve"> supuesto de precios rígidos, </w:t>
      </w:r>
      <w:r w:rsidR="003B0315" w:rsidRPr="00FD1DC0">
        <w:rPr>
          <w:rFonts w:ascii="Times New Roman" w:hAnsi="Times New Roman" w:cs="Times New Roman"/>
          <w:lang w:val="es-BO"/>
        </w:rPr>
        <w:t>modificaciones</w:t>
      </w:r>
      <w:r w:rsidRPr="00FD1DC0">
        <w:rPr>
          <w:rFonts w:ascii="Times New Roman" w:hAnsi="Times New Roman" w:cs="Times New Roman"/>
          <w:lang w:val="es-BO"/>
        </w:rPr>
        <w:t xml:space="preserve"> en e</w:t>
      </w:r>
      <w:r w:rsidR="003B0315" w:rsidRPr="00FD1DC0">
        <w:rPr>
          <w:rFonts w:ascii="Times New Roman" w:hAnsi="Times New Roman" w:cs="Times New Roman"/>
          <w:lang w:val="es-BO"/>
        </w:rPr>
        <w:t>l tipo de cambio nominal dan lugar a</w:t>
      </w:r>
      <w:r w:rsidR="00D563E3" w:rsidRPr="00FD1DC0">
        <w:rPr>
          <w:rFonts w:ascii="Times New Roman" w:hAnsi="Times New Roman" w:cs="Times New Roman"/>
          <w:lang w:val="es-BO"/>
        </w:rPr>
        <w:t xml:space="preserve"> modificaciones</w:t>
      </w:r>
      <w:r w:rsidRPr="00FD1DC0">
        <w:rPr>
          <w:rFonts w:ascii="Times New Roman" w:hAnsi="Times New Roman" w:cs="Times New Roman"/>
          <w:lang w:val="es-BO"/>
        </w:rPr>
        <w:t xml:space="preserve"> en el tipo de cambio </w:t>
      </w:r>
      <w:r w:rsidR="003B0315" w:rsidRPr="00FD1DC0">
        <w:rPr>
          <w:rFonts w:ascii="Times New Roman" w:hAnsi="Times New Roman" w:cs="Times New Roman"/>
          <w:lang w:val="es-BO"/>
        </w:rPr>
        <w:t xml:space="preserve">en </w:t>
      </w:r>
      <w:r w:rsidR="00D563E3" w:rsidRPr="00FD1DC0">
        <w:rPr>
          <w:rFonts w:ascii="Times New Roman" w:hAnsi="Times New Roman" w:cs="Times New Roman"/>
          <w:lang w:val="es-BO"/>
        </w:rPr>
        <w:t>la misma dirección</w:t>
      </w:r>
      <w:r w:rsidR="003B0315" w:rsidRPr="00FD1DC0">
        <w:rPr>
          <w:rFonts w:ascii="Times New Roman" w:hAnsi="Times New Roman" w:cs="Times New Roman"/>
          <w:lang w:val="es-BO"/>
        </w:rPr>
        <w:t>. De tal forma</w:t>
      </w:r>
      <w:r w:rsidRPr="00FD1DC0">
        <w:rPr>
          <w:rFonts w:ascii="Times New Roman" w:hAnsi="Times New Roman" w:cs="Times New Roman"/>
          <w:lang w:val="es-BO"/>
        </w:rPr>
        <w:t xml:space="preserve"> que </w:t>
      </w:r>
      <w:r w:rsidR="003B0315" w:rsidRPr="00FD1DC0">
        <w:rPr>
          <w:rFonts w:ascii="Times New Roman" w:hAnsi="Times New Roman" w:cs="Times New Roman"/>
          <w:lang w:val="es-BO"/>
        </w:rPr>
        <w:t xml:space="preserve">alteraciones </w:t>
      </w:r>
      <w:r w:rsidRPr="00FD1DC0">
        <w:rPr>
          <w:rFonts w:ascii="Times New Roman" w:hAnsi="Times New Roman" w:cs="Times New Roman"/>
          <w:lang w:val="es-BO"/>
        </w:rPr>
        <w:t xml:space="preserve">en el tipo de cambio real </w:t>
      </w:r>
      <w:r w:rsidR="003B0315" w:rsidRPr="00FD1DC0">
        <w:rPr>
          <w:rFonts w:ascii="Times New Roman" w:hAnsi="Times New Roman" w:cs="Times New Roman"/>
          <w:lang w:val="es-BO"/>
        </w:rPr>
        <w:t>provocan</w:t>
      </w:r>
      <w:r w:rsidRPr="00FD1DC0">
        <w:rPr>
          <w:rFonts w:ascii="Times New Roman" w:hAnsi="Times New Roman" w:cs="Times New Roman"/>
          <w:lang w:val="es-BO"/>
        </w:rPr>
        <w:t xml:space="preserve"> </w:t>
      </w:r>
      <w:r w:rsidR="003B0315" w:rsidRPr="00FD1DC0">
        <w:rPr>
          <w:rFonts w:ascii="Times New Roman" w:hAnsi="Times New Roman" w:cs="Times New Roman"/>
          <w:lang w:val="es-BO"/>
        </w:rPr>
        <w:t xml:space="preserve">variaciones en </w:t>
      </w:r>
      <w:r w:rsidRPr="00FD1DC0">
        <w:rPr>
          <w:rFonts w:ascii="Times New Roman" w:hAnsi="Times New Roman" w:cs="Times New Roman"/>
          <w:lang w:val="es-BO"/>
        </w:rPr>
        <w:t xml:space="preserve">la </w:t>
      </w:r>
      <w:r w:rsidR="003B0315" w:rsidRPr="00FD1DC0">
        <w:rPr>
          <w:rFonts w:ascii="Times New Roman" w:hAnsi="Times New Roman" w:cs="Times New Roman"/>
          <w:lang w:val="es-BO"/>
        </w:rPr>
        <w:t xml:space="preserve">relación de </w:t>
      </w:r>
      <w:r w:rsidRPr="00FD1DC0">
        <w:rPr>
          <w:rFonts w:ascii="Times New Roman" w:hAnsi="Times New Roman" w:cs="Times New Roman"/>
          <w:lang w:val="es-BO"/>
        </w:rPr>
        <w:t>prec</w:t>
      </w:r>
      <w:r w:rsidR="003B0315" w:rsidRPr="00FD1DC0">
        <w:rPr>
          <w:rFonts w:ascii="Times New Roman" w:hAnsi="Times New Roman" w:cs="Times New Roman"/>
          <w:lang w:val="es-BO"/>
        </w:rPr>
        <w:t xml:space="preserve">ios </w:t>
      </w:r>
      <w:r w:rsidRPr="00FD1DC0">
        <w:rPr>
          <w:rFonts w:ascii="Times New Roman" w:hAnsi="Times New Roman" w:cs="Times New Roman"/>
          <w:lang w:val="es-BO"/>
        </w:rPr>
        <w:t xml:space="preserve">de mercancías </w:t>
      </w:r>
      <w:r w:rsidR="003B0315" w:rsidRPr="00FD1DC0">
        <w:rPr>
          <w:rFonts w:ascii="Times New Roman" w:hAnsi="Times New Roman" w:cs="Times New Roman"/>
          <w:lang w:val="es-BO"/>
        </w:rPr>
        <w:t xml:space="preserve">comerciables, la misma </w:t>
      </w:r>
      <w:r w:rsidR="00DE1119" w:rsidRPr="00FD1DC0">
        <w:rPr>
          <w:rFonts w:ascii="Times New Roman" w:hAnsi="Times New Roman" w:cs="Times New Roman"/>
          <w:lang w:val="es-BO"/>
        </w:rPr>
        <w:t>provoca cambios</w:t>
      </w:r>
      <w:r w:rsidRPr="00FD1DC0">
        <w:rPr>
          <w:rFonts w:ascii="Times New Roman" w:hAnsi="Times New Roman" w:cs="Times New Roman"/>
          <w:lang w:val="es-BO"/>
        </w:rPr>
        <w:t xml:space="preserve"> en la demanda de bienes interna y externa, </w:t>
      </w:r>
      <w:r w:rsidR="003B0315" w:rsidRPr="00FD1DC0">
        <w:rPr>
          <w:rFonts w:ascii="Times New Roman" w:hAnsi="Times New Roman" w:cs="Times New Roman"/>
          <w:lang w:val="es-BO"/>
        </w:rPr>
        <w:t>de esta forma e</w:t>
      </w:r>
      <w:r w:rsidRPr="00FD1DC0">
        <w:rPr>
          <w:rFonts w:ascii="Times New Roman" w:hAnsi="Times New Roman" w:cs="Times New Roman"/>
          <w:lang w:val="es-BO"/>
        </w:rPr>
        <w:t>l tipo de cambio funciona como complemento</w:t>
      </w:r>
      <w:r w:rsidR="00DE1119" w:rsidRPr="00FD1DC0">
        <w:rPr>
          <w:rFonts w:ascii="Times New Roman" w:hAnsi="Times New Roman" w:cs="Times New Roman"/>
          <w:lang w:val="es-BO"/>
        </w:rPr>
        <w:t xml:space="preserve"> y alternativa</w:t>
      </w:r>
      <w:r w:rsidRPr="00FD1DC0">
        <w:rPr>
          <w:rFonts w:ascii="Times New Roman" w:hAnsi="Times New Roman" w:cs="Times New Roman"/>
          <w:lang w:val="es-BO"/>
        </w:rPr>
        <w:t xml:space="preserve"> al mecanismo de transmisión de la demanda agregada. </w:t>
      </w:r>
    </w:p>
    <w:p w14:paraId="01FCA7A1" w14:textId="62F9804E" w:rsidR="00E6116F" w:rsidRPr="00FD1DC0" w:rsidRDefault="00C97EF8" w:rsidP="008D25A4">
      <w:pPr>
        <w:spacing w:after="0" w:line="360" w:lineRule="auto"/>
        <w:ind w:left="50" w:right="0" w:firstLine="0"/>
        <w:jc w:val="left"/>
        <w:rPr>
          <w:b/>
          <w:lang w:val="es-BO"/>
        </w:rPr>
      </w:pPr>
      <w:r>
        <w:rPr>
          <w:b/>
          <w:lang w:val="es-BO"/>
        </w:rPr>
        <w:t>1.</w:t>
      </w:r>
      <w:r w:rsidR="005B2C26" w:rsidRPr="00FD1DC0">
        <w:rPr>
          <w:b/>
          <w:lang w:val="es-BO"/>
        </w:rPr>
        <w:t>3</w:t>
      </w:r>
      <w:r w:rsidR="00E6116F" w:rsidRPr="00FD1DC0">
        <w:rPr>
          <w:b/>
          <w:lang w:val="es-BO"/>
        </w:rPr>
        <w:t xml:space="preserve"> Fundamentos del Modelo Teórico de Objetivos de Inflación</w:t>
      </w:r>
    </w:p>
    <w:p w14:paraId="3FCEA43F" w14:textId="49C74E30" w:rsidR="00C77679" w:rsidRPr="00FD1DC0" w:rsidRDefault="00C77679" w:rsidP="008D25A4">
      <w:pPr>
        <w:spacing w:after="0" w:line="360" w:lineRule="auto"/>
        <w:ind w:left="62" w:right="539" w:hanging="11"/>
        <w:rPr>
          <w:rFonts w:ascii="Times New Roman" w:hAnsi="Times New Roman" w:cs="Times New Roman"/>
          <w:color w:val="262528"/>
          <w:lang w:val="es-BO" w:eastAsia="es-MX"/>
        </w:rPr>
      </w:pPr>
      <w:r w:rsidRPr="00FD1DC0">
        <w:rPr>
          <w:rFonts w:ascii="Times New Roman" w:hAnsi="Times New Roman" w:cs="Times New Roman"/>
          <w:color w:val="262528"/>
          <w:lang w:val="es-BO" w:eastAsia="es-MX"/>
        </w:rPr>
        <w:t>El esquema teó</w:t>
      </w:r>
      <w:r w:rsidR="00D62210" w:rsidRPr="00FD1DC0">
        <w:rPr>
          <w:rFonts w:ascii="Times New Roman" w:hAnsi="Times New Roman" w:cs="Times New Roman"/>
          <w:color w:val="262528"/>
          <w:lang w:val="es-BO" w:eastAsia="es-MX"/>
        </w:rPr>
        <w:t>rico de objetivos de inflación ROI</w:t>
      </w:r>
      <w:r w:rsidRPr="00FD1DC0">
        <w:rPr>
          <w:rFonts w:ascii="Times New Roman" w:hAnsi="Times New Roman" w:cs="Times New Roman"/>
          <w:color w:val="262528"/>
          <w:lang w:val="es-BO" w:eastAsia="es-MX"/>
        </w:rPr>
        <w:t xml:space="preserve">, haciendo alusión a </w:t>
      </w:r>
      <w:r w:rsidR="00D62210" w:rsidRPr="00FD1DC0">
        <w:rPr>
          <w:rFonts w:ascii="Times New Roman" w:hAnsi="Times New Roman" w:cs="Times New Roman"/>
          <w:color w:val="262528"/>
          <w:lang w:val="es-BO" w:eastAsia="es-MX"/>
        </w:rPr>
        <w:t xml:space="preserve">(Perrotini, </w:t>
      </w:r>
      <w:r w:rsidRPr="00FD1DC0">
        <w:rPr>
          <w:rFonts w:ascii="Times New Roman" w:hAnsi="Times New Roman" w:cs="Times New Roman"/>
          <w:color w:val="262528"/>
          <w:lang w:val="es-BO" w:eastAsia="es-MX"/>
        </w:rPr>
        <w:t xml:space="preserve">2007) que se focaliza en el documento de </w:t>
      </w:r>
      <w:r w:rsidR="00D62210" w:rsidRPr="00FD1DC0">
        <w:rPr>
          <w:rFonts w:ascii="Times New Roman" w:hAnsi="Times New Roman" w:cs="Times New Roman"/>
          <w:color w:val="262528"/>
          <w:lang w:val="es-BO" w:eastAsia="es-MX"/>
        </w:rPr>
        <w:t xml:space="preserve">(Taylor, </w:t>
      </w:r>
      <w:r w:rsidRPr="00FD1DC0">
        <w:rPr>
          <w:rFonts w:ascii="Times New Roman" w:hAnsi="Times New Roman" w:cs="Times New Roman"/>
          <w:color w:val="262528"/>
          <w:lang w:val="es-BO" w:eastAsia="es-MX"/>
        </w:rPr>
        <w:t>1999), es un marco flexible de política monetaria que funciona como un ancla de las expectativas de inflación. Que básicamente es una regla monetaria que analiza y describe como los instrumentos, deben ajustarse ante variaciones en la inflación, en el producto u otra variable de carácter relevante.</w:t>
      </w:r>
    </w:p>
    <w:p w14:paraId="6B099C89" w14:textId="2451AB9A" w:rsidR="007D39EF" w:rsidRPr="00FD1DC0" w:rsidRDefault="007D39EF" w:rsidP="008D25A4">
      <w:pPr>
        <w:spacing w:after="0" w:line="360" w:lineRule="auto"/>
        <w:ind w:left="62" w:right="539" w:hanging="11"/>
        <w:rPr>
          <w:rFonts w:ascii="Times New Roman" w:hAnsi="Times New Roman" w:cs="Times New Roman"/>
          <w:color w:val="262528"/>
          <w:lang w:val="es-BO" w:eastAsia="es-MX"/>
        </w:rPr>
      </w:pPr>
      <w:r w:rsidRPr="00FD1DC0">
        <w:rPr>
          <w:rFonts w:ascii="Times New Roman" w:hAnsi="Times New Roman" w:cs="Times New Roman"/>
          <w:color w:val="262528"/>
          <w:lang w:val="es-BO" w:eastAsia="es-MX"/>
        </w:rPr>
        <w:t>Asimismo,</w:t>
      </w:r>
      <w:r w:rsidR="00457FCB" w:rsidRPr="00FD1DC0">
        <w:rPr>
          <w:rFonts w:ascii="Times New Roman" w:hAnsi="Times New Roman" w:cs="Times New Roman"/>
          <w:color w:val="262528"/>
          <w:lang w:val="es-BO" w:eastAsia="es-MX"/>
        </w:rPr>
        <w:t xml:space="preserve"> Ball</w:t>
      </w:r>
      <w:r w:rsidR="00D62210" w:rsidRPr="00FD1DC0">
        <w:rPr>
          <w:rFonts w:ascii="Times New Roman" w:hAnsi="Times New Roman" w:cs="Times New Roman"/>
          <w:color w:val="262528"/>
          <w:lang w:val="es-BO" w:eastAsia="es-MX"/>
        </w:rPr>
        <w:t xml:space="preserve"> </w:t>
      </w:r>
      <w:r w:rsidR="00457FCB" w:rsidRPr="00FD1DC0">
        <w:rPr>
          <w:rFonts w:ascii="Times New Roman" w:hAnsi="Times New Roman" w:cs="Times New Roman"/>
          <w:color w:val="262528"/>
          <w:lang w:val="es-BO" w:eastAsia="es-MX"/>
        </w:rPr>
        <w:t>(</w:t>
      </w:r>
      <w:r w:rsidR="00F44874" w:rsidRPr="00FD1DC0">
        <w:rPr>
          <w:rFonts w:ascii="Times New Roman" w:hAnsi="Times New Roman" w:cs="Times New Roman"/>
          <w:color w:val="262528"/>
          <w:lang w:val="es-BO" w:eastAsia="es-MX"/>
        </w:rPr>
        <w:t>1</w:t>
      </w:r>
      <w:r w:rsidRPr="00FD1DC0">
        <w:rPr>
          <w:rFonts w:ascii="Times New Roman" w:hAnsi="Times New Roman" w:cs="Times New Roman"/>
          <w:color w:val="262528"/>
          <w:lang w:val="es-BO" w:eastAsia="es-MX"/>
        </w:rPr>
        <w:t>997), desarrolla</w:t>
      </w:r>
      <w:r w:rsidR="00F44874" w:rsidRPr="00FD1DC0">
        <w:rPr>
          <w:rFonts w:ascii="Times New Roman" w:hAnsi="Times New Roman" w:cs="Times New Roman"/>
          <w:color w:val="262528"/>
          <w:lang w:val="es-BO" w:eastAsia="es-MX"/>
        </w:rPr>
        <w:t xml:space="preserve"> un modelo eficiente bajo el supuesto</w:t>
      </w:r>
      <w:r w:rsidR="003E59A1" w:rsidRPr="00FD1DC0">
        <w:rPr>
          <w:rFonts w:ascii="Times New Roman" w:hAnsi="Times New Roman" w:cs="Times New Roman"/>
          <w:color w:val="262528"/>
          <w:lang w:val="es-BO" w:eastAsia="es-MX"/>
        </w:rPr>
        <w:t xml:space="preserve"> </w:t>
      </w:r>
      <w:r w:rsidRPr="00FD1DC0">
        <w:rPr>
          <w:rFonts w:ascii="Times New Roman" w:hAnsi="Times New Roman" w:cs="Times New Roman"/>
          <w:color w:val="262528"/>
          <w:lang w:val="es-BO" w:eastAsia="es-MX"/>
        </w:rPr>
        <w:t>de que el ROI funciona</w:t>
      </w:r>
      <w:r w:rsidR="003E59A1" w:rsidRPr="00FD1DC0">
        <w:rPr>
          <w:rFonts w:ascii="Times New Roman" w:hAnsi="Times New Roman" w:cs="Times New Roman"/>
          <w:color w:val="262528"/>
          <w:lang w:val="es-BO" w:eastAsia="es-MX"/>
        </w:rPr>
        <w:t xml:space="preserve"> como una regla d</w:t>
      </w:r>
      <w:r w:rsidRPr="00FD1DC0">
        <w:rPr>
          <w:rFonts w:ascii="Times New Roman" w:hAnsi="Times New Roman" w:cs="Times New Roman"/>
          <w:color w:val="262528"/>
          <w:lang w:val="es-BO" w:eastAsia="es-MX"/>
        </w:rPr>
        <w:t>e política monetaria</w:t>
      </w:r>
      <w:r w:rsidR="001B25A4" w:rsidRPr="00FD1DC0">
        <w:rPr>
          <w:rFonts w:ascii="Times New Roman" w:hAnsi="Times New Roman" w:cs="Times New Roman"/>
          <w:color w:val="262528"/>
          <w:lang w:val="es-BO" w:eastAsia="es-MX"/>
        </w:rPr>
        <w:t xml:space="preserve"> y para el mismo</w:t>
      </w:r>
      <w:r w:rsidRPr="00FD1DC0">
        <w:rPr>
          <w:rFonts w:ascii="Times New Roman" w:hAnsi="Times New Roman" w:cs="Times New Roman"/>
          <w:color w:val="262528"/>
          <w:lang w:val="es-BO" w:eastAsia="es-MX"/>
        </w:rPr>
        <w:t xml:space="preserve"> realiza un proceso de simulación de modelos teóricos para economías abiertas con prese</w:t>
      </w:r>
      <w:r w:rsidR="00106FC3" w:rsidRPr="00FD1DC0">
        <w:rPr>
          <w:rFonts w:ascii="Times New Roman" w:hAnsi="Times New Roman" w:cs="Times New Roman"/>
          <w:color w:val="262528"/>
          <w:lang w:val="es-BO" w:eastAsia="es-MX"/>
        </w:rPr>
        <w:t xml:space="preserve">ncia de choques externos (Ball, </w:t>
      </w:r>
      <w:r w:rsidR="00657F85" w:rsidRPr="00FD1DC0">
        <w:rPr>
          <w:rFonts w:ascii="Times New Roman" w:hAnsi="Times New Roman" w:cs="Times New Roman"/>
          <w:color w:val="262528"/>
          <w:lang w:val="es-BO" w:eastAsia="es-MX"/>
        </w:rPr>
        <w:t xml:space="preserve">1999; </w:t>
      </w:r>
      <w:r w:rsidRPr="00FD1DC0">
        <w:rPr>
          <w:rFonts w:ascii="Times New Roman" w:hAnsi="Times New Roman" w:cs="Times New Roman"/>
          <w:color w:val="262528"/>
          <w:lang w:val="es-BO" w:eastAsia="es-MX"/>
        </w:rPr>
        <w:t xml:space="preserve">2000). Sin embargo, los exgobernadores de la Reserva </w:t>
      </w:r>
      <w:r w:rsidR="000923C9" w:rsidRPr="00FD1DC0">
        <w:rPr>
          <w:rFonts w:ascii="Times New Roman" w:hAnsi="Times New Roman" w:cs="Times New Roman"/>
          <w:color w:val="262528"/>
          <w:lang w:val="es-BO" w:eastAsia="es-MX"/>
        </w:rPr>
        <w:t xml:space="preserve">Federal </w:t>
      </w:r>
      <w:r w:rsidR="001850BE" w:rsidRPr="00FD1DC0">
        <w:rPr>
          <w:rFonts w:ascii="Times New Roman" w:hAnsi="Times New Roman" w:cs="Times New Roman"/>
          <w:color w:val="262528"/>
          <w:lang w:val="es-BO" w:eastAsia="es-MX"/>
        </w:rPr>
        <w:t>FED</w:t>
      </w:r>
      <w:r w:rsidRPr="00FD1DC0">
        <w:rPr>
          <w:rFonts w:ascii="Times New Roman" w:hAnsi="Times New Roman" w:cs="Times New Roman"/>
          <w:color w:val="262528"/>
          <w:lang w:val="es-BO" w:eastAsia="es-MX"/>
        </w:rPr>
        <w:t>, Bernanke, Sh</w:t>
      </w:r>
      <w:r w:rsidR="001850BE" w:rsidRPr="00FD1DC0">
        <w:rPr>
          <w:rFonts w:ascii="Times New Roman" w:hAnsi="Times New Roman" w:cs="Times New Roman"/>
          <w:color w:val="262528"/>
          <w:lang w:val="es-BO" w:eastAsia="es-MX"/>
        </w:rPr>
        <w:t>alo y Frederi</w:t>
      </w:r>
      <w:r w:rsidR="00657F85" w:rsidRPr="00FD1DC0">
        <w:rPr>
          <w:rFonts w:ascii="Times New Roman" w:hAnsi="Times New Roman" w:cs="Times New Roman"/>
          <w:color w:val="262528"/>
          <w:lang w:val="es-BO" w:eastAsia="es-MX"/>
        </w:rPr>
        <w:t>c Stanley Mishkin</w:t>
      </w:r>
      <w:r w:rsidR="001850BE" w:rsidRPr="00FD1DC0">
        <w:rPr>
          <w:rFonts w:ascii="Times New Roman" w:hAnsi="Times New Roman" w:cs="Times New Roman"/>
          <w:color w:val="262528"/>
          <w:lang w:val="es-BO" w:eastAsia="es-MX"/>
        </w:rPr>
        <w:t xml:space="preserve"> </w:t>
      </w:r>
      <w:r w:rsidR="00657F85" w:rsidRPr="00FD1DC0">
        <w:rPr>
          <w:rFonts w:ascii="Times New Roman" w:hAnsi="Times New Roman" w:cs="Times New Roman"/>
          <w:color w:val="262528"/>
          <w:lang w:val="es-BO" w:eastAsia="es-MX"/>
        </w:rPr>
        <w:t>(</w:t>
      </w:r>
      <w:r w:rsidRPr="00FD1DC0">
        <w:rPr>
          <w:rFonts w:ascii="Times New Roman" w:hAnsi="Times New Roman" w:cs="Times New Roman"/>
          <w:color w:val="262528"/>
          <w:lang w:val="es-BO" w:eastAsia="es-MX"/>
        </w:rPr>
        <w:t xml:space="preserve">1997), </w:t>
      </w:r>
      <w:r w:rsidR="001B25A4" w:rsidRPr="00FD1DC0">
        <w:rPr>
          <w:rFonts w:ascii="Times New Roman" w:hAnsi="Times New Roman" w:cs="Times New Roman"/>
          <w:color w:val="262528"/>
          <w:lang w:val="es-BO" w:eastAsia="es-MX"/>
        </w:rPr>
        <w:t>afirman que</w:t>
      </w:r>
      <w:r w:rsidRPr="00FD1DC0">
        <w:rPr>
          <w:rFonts w:ascii="Times New Roman" w:hAnsi="Times New Roman" w:cs="Times New Roman"/>
          <w:color w:val="262528"/>
          <w:lang w:val="es-BO" w:eastAsia="es-MX"/>
        </w:rPr>
        <w:t xml:space="preserve"> en la práctica los ROI son </w:t>
      </w:r>
      <w:r w:rsidR="001B25A4" w:rsidRPr="00FD1DC0">
        <w:rPr>
          <w:rFonts w:ascii="Times New Roman" w:hAnsi="Times New Roman" w:cs="Times New Roman"/>
          <w:color w:val="262528"/>
          <w:lang w:val="es-BO" w:eastAsia="es-MX"/>
        </w:rPr>
        <w:t>un esquema monetario</w:t>
      </w:r>
      <w:r w:rsidRPr="00FD1DC0">
        <w:rPr>
          <w:rFonts w:ascii="Times New Roman" w:hAnsi="Times New Roman" w:cs="Times New Roman"/>
          <w:color w:val="262528"/>
          <w:lang w:val="es-BO" w:eastAsia="es-MX"/>
        </w:rPr>
        <w:t xml:space="preserve"> que permite a </w:t>
      </w:r>
      <w:r w:rsidR="00CE72C1" w:rsidRPr="00FD1DC0">
        <w:rPr>
          <w:rFonts w:ascii="Times New Roman" w:hAnsi="Times New Roman" w:cs="Times New Roman"/>
          <w:color w:val="262528"/>
          <w:lang w:val="es-BO" w:eastAsia="es-MX"/>
        </w:rPr>
        <w:t>las autoridades monetarias</w:t>
      </w:r>
      <w:r w:rsidRPr="00FD1DC0">
        <w:rPr>
          <w:rFonts w:ascii="Times New Roman" w:hAnsi="Times New Roman" w:cs="Times New Roman"/>
          <w:color w:val="262528"/>
          <w:lang w:val="es-BO" w:eastAsia="es-MX"/>
        </w:rPr>
        <w:t xml:space="preserve"> lograr trasparencia, </w:t>
      </w:r>
      <w:r w:rsidR="00EC3F26" w:rsidRPr="00FD1DC0">
        <w:rPr>
          <w:rFonts w:ascii="Times New Roman" w:hAnsi="Times New Roman" w:cs="Times New Roman"/>
          <w:color w:val="262528"/>
          <w:lang w:val="es-BO" w:eastAsia="es-MX"/>
        </w:rPr>
        <w:t>rendición de cuentas</w:t>
      </w:r>
      <w:r w:rsidRPr="00FD1DC0">
        <w:rPr>
          <w:rFonts w:ascii="Times New Roman" w:hAnsi="Times New Roman" w:cs="Times New Roman"/>
          <w:color w:val="262528"/>
          <w:lang w:val="es-BO" w:eastAsia="es-MX"/>
        </w:rPr>
        <w:t xml:space="preserve">. Además, este razonamiento ha sido defendido por </w:t>
      </w:r>
      <w:r w:rsidR="00A55D73" w:rsidRPr="00FD1DC0">
        <w:rPr>
          <w:rFonts w:ascii="Times New Roman" w:hAnsi="Times New Roman" w:cs="Times New Roman"/>
          <w:color w:val="262528"/>
          <w:lang w:val="es-BO" w:eastAsia="es-MX"/>
        </w:rPr>
        <w:t>Bernanke (</w:t>
      </w:r>
      <w:r w:rsidRPr="00FD1DC0">
        <w:rPr>
          <w:rFonts w:ascii="Times New Roman" w:hAnsi="Times New Roman" w:cs="Times New Roman"/>
          <w:color w:val="262528"/>
          <w:lang w:val="es-BO" w:eastAsia="es-MX"/>
        </w:rPr>
        <w:t>2003) en varias</w:t>
      </w:r>
      <w:r w:rsidR="004A1E8C" w:rsidRPr="00FD1DC0">
        <w:rPr>
          <w:rFonts w:ascii="Times New Roman" w:hAnsi="Times New Roman" w:cs="Times New Roman"/>
          <w:color w:val="262528"/>
          <w:lang w:val="es-BO" w:eastAsia="es-MX"/>
        </w:rPr>
        <w:t xml:space="preserve"> de sus ponencias.</w:t>
      </w:r>
    </w:p>
    <w:p w14:paraId="6679306D" w14:textId="4251DC6C" w:rsidR="00EA6E04" w:rsidRPr="00FD1DC0" w:rsidRDefault="00EA6E04" w:rsidP="008D25A4">
      <w:pPr>
        <w:spacing w:after="0" w:line="360" w:lineRule="auto"/>
        <w:ind w:left="62" w:right="539" w:hanging="11"/>
        <w:rPr>
          <w:rFonts w:ascii="Times New Roman" w:hAnsi="Times New Roman" w:cs="Times New Roman"/>
          <w:color w:val="262528"/>
          <w:lang w:val="es-BO" w:eastAsia="es-MX"/>
        </w:rPr>
      </w:pPr>
      <w:r w:rsidRPr="00FD1DC0">
        <w:rPr>
          <w:rFonts w:ascii="Times New Roman" w:hAnsi="Times New Roman" w:cs="Times New Roman"/>
          <w:color w:val="262528"/>
          <w:lang w:val="es-BO" w:eastAsia="es-MX"/>
        </w:rPr>
        <w:t>Varias investigaciones</w:t>
      </w:r>
      <w:r w:rsidR="000055B8" w:rsidRPr="00FD1DC0">
        <w:rPr>
          <w:rFonts w:ascii="Times New Roman" w:hAnsi="Times New Roman" w:cs="Times New Roman"/>
          <w:color w:val="262528"/>
          <w:lang w:val="es-BO" w:eastAsia="es-MX"/>
        </w:rPr>
        <w:t>,</w:t>
      </w:r>
      <w:r w:rsidRPr="00FD1DC0">
        <w:rPr>
          <w:rFonts w:ascii="Times New Roman" w:hAnsi="Times New Roman" w:cs="Times New Roman"/>
          <w:color w:val="262528"/>
          <w:lang w:val="es-BO" w:eastAsia="es-MX"/>
        </w:rPr>
        <w:t xml:space="preserve"> más bien sugieren que </w:t>
      </w:r>
      <w:r w:rsidR="00926575" w:rsidRPr="00FD1DC0">
        <w:rPr>
          <w:rFonts w:ascii="Times New Roman" w:hAnsi="Times New Roman" w:cs="Times New Roman"/>
          <w:color w:val="262528"/>
          <w:lang w:val="es-BO" w:eastAsia="es-MX"/>
        </w:rPr>
        <w:t xml:space="preserve">el modelo de </w:t>
      </w:r>
      <w:r w:rsidR="009222C3" w:rsidRPr="00FD1DC0">
        <w:rPr>
          <w:rFonts w:ascii="Times New Roman" w:hAnsi="Times New Roman" w:cs="Times New Roman"/>
          <w:color w:val="262528"/>
          <w:lang w:val="es-BO" w:eastAsia="es-MX"/>
        </w:rPr>
        <w:t>objetivos de inflación</w:t>
      </w:r>
      <w:r w:rsidRPr="00FD1DC0">
        <w:rPr>
          <w:rFonts w:ascii="Times New Roman" w:hAnsi="Times New Roman" w:cs="Times New Roman"/>
          <w:color w:val="262528"/>
          <w:lang w:val="es-BO" w:eastAsia="es-MX"/>
        </w:rPr>
        <w:t>, en la práctica es una regla dado que la mismo</w:t>
      </w:r>
      <w:r w:rsidR="00926575" w:rsidRPr="00FD1DC0">
        <w:rPr>
          <w:rFonts w:ascii="Times New Roman" w:hAnsi="Times New Roman" w:cs="Times New Roman"/>
          <w:color w:val="262528"/>
          <w:lang w:val="es-BO" w:eastAsia="es-MX"/>
        </w:rPr>
        <w:t xml:space="preserve"> no actúa de </w:t>
      </w:r>
      <w:r w:rsidRPr="00FD1DC0">
        <w:rPr>
          <w:rFonts w:ascii="Times New Roman" w:hAnsi="Times New Roman" w:cs="Times New Roman"/>
          <w:color w:val="262528"/>
          <w:lang w:val="es-BO" w:eastAsia="es-MX"/>
        </w:rPr>
        <w:t>manera</w:t>
      </w:r>
      <w:r w:rsidR="00926575" w:rsidRPr="00FD1DC0">
        <w:rPr>
          <w:rFonts w:ascii="Times New Roman" w:hAnsi="Times New Roman" w:cs="Times New Roman"/>
          <w:color w:val="262528"/>
          <w:lang w:val="es-BO" w:eastAsia="es-MX"/>
        </w:rPr>
        <w:t xml:space="preserve"> discrecional para financiar al gobierno, </w:t>
      </w:r>
      <w:r w:rsidRPr="00FD1DC0">
        <w:rPr>
          <w:rFonts w:ascii="Times New Roman" w:hAnsi="Times New Roman" w:cs="Times New Roman"/>
          <w:color w:val="262528"/>
          <w:lang w:val="es-BO" w:eastAsia="es-MX"/>
        </w:rPr>
        <w:t xml:space="preserve">debido a que la </w:t>
      </w:r>
      <w:r w:rsidR="00926575" w:rsidRPr="00FD1DC0">
        <w:rPr>
          <w:rFonts w:ascii="Times New Roman" w:hAnsi="Times New Roman" w:cs="Times New Roman"/>
          <w:color w:val="262528"/>
          <w:lang w:val="es-BO" w:eastAsia="es-MX"/>
        </w:rPr>
        <w:t xml:space="preserve">mayoría de los países </w:t>
      </w:r>
      <w:r w:rsidRPr="00FD1DC0">
        <w:rPr>
          <w:rFonts w:ascii="Times New Roman" w:hAnsi="Times New Roman" w:cs="Times New Roman"/>
          <w:color w:val="262528"/>
          <w:lang w:val="es-BO" w:eastAsia="es-MX"/>
        </w:rPr>
        <w:t>que aplican</w:t>
      </w:r>
      <w:r w:rsidR="00926575" w:rsidRPr="00FD1DC0">
        <w:rPr>
          <w:rFonts w:ascii="Times New Roman" w:hAnsi="Times New Roman" w:cs="Times New Roman"/>
          <w:color w:val="262528"/>
          <w:lang w:val="es-BO" w:eastAsia="es-MX"/>
        </w:rPr>
        <w:t xml:space="preserve"> y utilizan</w:t>
      </w:r>
      <w:r w:rsidRPr="00FD1DC0">
        <w:rPr>
          <w:rFonts w:ascii="Times New Roman" w:hAnsi="Times New Roman" w:cs="Times New Roman"/>
          <w:color w:val="262528"/>
          <w:lang w:val="es-BO" w:eastAsia="es-MX"/>
        </w:rPr>
        <w:t xml:space="preserve"> un </w:t>
      </w:r>
      <w:r w:rsidR="00926575" w:rsidRPr="00FD1DC0">
        <w:rPr>
          <w:rFonts w:ascii="Times New Roman" w:hAnsi="Times New Roman" w:cs="Times New Roman"/>
          <w:color w:val="262528"/>
          <w:lang w:val="es-BO" w:eastAsia="es-MX"/>
        </w:rPr>
        <w:t xml:space="preserve">modelo ROI tienen </w:t>
      </w:r>
      <w:r w:rsidRPr="00FD1DC0">
        <w:rPr>
          <w:rFonts w:ascii="Times New Roman" w:hAnsi="Times New Roman" w:cs="Times New Roman"/>
          <w:color w:val="262528"/>
          <w:lang w:val="es-BO" w:eastAsia="es-MX"/>
        </w:rPr>
        <w:t xml:space="preserve">autonomía de instrumentos, </w:t>
      </w:r>
      <w:r w:rsidR="00926575" w:rsidRPr="00FD1DC0">
        <w:rPr>
          <w:rFonts w:ascii="Times New Roman" w:hAnsi="Times New Roman" w:cs="Times New Roman"/>
          <w:color w:val="262528"/>
          <w:lang w:val="es-BO" w:eastAsia="es-MX"/>
        </w:rPr>
        <w:t>u autonomía de objetivos. Además,</w:t>
      </w:r>
      <w:r w:rsidRPr="00FD1DC0">
        <w:rPr>
          <w:rFonts w:ascii="Times New Roman" w:hAnsi="Times New Roman" w:cs="Times New Roman"/>
          <w:color w:val="262528"/>
          <w:lang w:val="es-BO" w:eastAsia="es-MX"/>
        </w:rPr>
        <w:t xml:space="preserve"> es cierto que actúa minimizando una función de perdida de la desviación del producto y la inflación de su objetivo al cuadrado.</w:t>
      </w:r>
    </w:p>
    <w:p w14:paraId="0262165B" w14:textId="729BF3EC" w:rsidR="0091489E" w:rsidRPr="00FD1DC0" w:rsidRDefault="0079242E" w:rsidP="00185AAA">
      <w:pPr>
        <w:spacing w:after="0" w:line="360" w:lineRule="auto"/>
        <w:ind w:right="0"/>
        <w:jc w:val="left"/>
        <w:rPr>
          <w:b/>
          <w:lang w:val="es-BO"/>
        </w:rPr>
      </w:pPr>
      <w:r>
        <w:rPr>
          <w:b/>
          <w:lang w:val="es-BO"/>
        </w:rPr>
        <w:t>1.4</w:t>
      </w:r>
      <w:r w:rsidR="00BF47C1" w:rsidRPr="00FD1DC0">
        <w:rPr>
          <w:b/>
          <w:lang w:val="es-BO"/>
        </w:rPr>
        <w:t xml:space="preserve"> </w:t>
      </w:r>
      <w:r w:rsidR="0091038D" w:rsidRPr="00FD1DC0">
        <w:rPr>
          <w:b/>
          <w:lang w:val="es-BO"/>
        </w:rPr>
        <w:t>Inconsistencias</w:t>
      </w:r>
      <w:r w:rsidR="00BF47C1" w:rsidRPr="00FD1DC0">
        <w:rPr>
          <w:b/>
          <w:lang w:val="es-BO"/>
        </w:rPr>
        <w:t xml:space="preserve"> Teóricas del Régimen de </w:t>
      </w:r>
      <w:r w:rsidR="0091489E" w:rsidRPr="00FD1DC0">
        <w:rPr>
          <w:b/>
          <w:lang w:val="es-BO"/>
        </w:rPr>
        <w:t>Objetivos de Inflación</w:t>
      </w:r>
    </w:p>
    <w:p w14:paraId="0A27C485" w14:textId="4C4855F3" w:rsidR="00BF47C1" w:rsidRPr="00FD1DC0" w:rsidRDefault="00912D6F" w:rsidP="008D25A4">
      <w:pPr>
        <w:spacing w:after="0" w:line="360" w:lineRule="auto"/>
        <w:ind w:left="62" w:right="0" w:hanging="11"/>
        <w:rPr>
          <w:rFonts w:ascii="Times New Roman" w:hAnsi="Times New Roman" w:cs="Times New Roman"/>
          <w:lang w:val="es-BO"/>
        </w:rPr>
      </w:pPr>
      <w:r w:rsidRPr="00FD1DC0">
        <w:rPr>
          <w:rFonts w:ascii="Times New Roman" w:hAnsi="Times New Roman" w:cs="Times New Roman"/>
          <w:lang w:val="es-BO"/>
        </w:rPr>
        <w:t>E</w:t>
      </w:r>
      <w:r w:rsidR="003D7947" w:rsidRPr="00FD1DC0">
        <w:rPr>
          <w:rFonts w:ascii="Times New Roman" w:hAnsi="Times New Roman" w:cs="Times New Roman"/>
          <w:lang w:val="es-BO"/>
        </w:rPr>
        <w:t>ntre las limitaciones teóricas del modelo de objetivos de inflación</w:t>
      </w:r>
      <w:r w:rsidR="00F57265" w:rsidRPr="00FD1DC0">
        <w:rPr>
          <w:rFonts w:ascii="Times New Roman" w:hAnsi="Times New Roman" w:cs="Times New Roman"/>
          <w:lang w:val="es-BO"/>
        </w:rPr>
        <w:t xml:space="preserve"> (ROI)</w:t>
      </w:r>
      <w:r w:rsidR="003D7947" w:rsidRPr="00FD1DC0">
        <w:rPr>
          <w:rFonts w:ascii="Times New Roman" w:hAnsi="Times New Roman" w:cs="Times New Roman"/>
          <w:lang w:val="es-BO"/>
        </w:rPr>
        <w:t>, aplicada principalmente a países en vías de desarrollo</w:t>
      </w:r>
      <w:r w:rsidR="00A519B3" w:rsidRPr="00FD1DC0">
        <w:rPr>
          <w:rFonts w:ascii="Times New Roman" w:hAnsi="Times New Roman" w:cs="Times New Roman"/>
          <w:lang w:val="es-BO"/>
        </w:rPr>
        <w:t>, tenemos</w:t>
      </w:r>
      <w:r w:rsidR="003D7947" w:rsidRPr="00FD1DC0">
        <w:rPr>
          <w:rFonts w:ascii="Times New Roman" w:hAnsi="Times New Roman" w:cs="Times New Roman"/>
          <w:lang w:val="es-BO"/>
        </w:rPr>
        <w:t xml:space="preserve"> las siguientes:</w:t>
      </w:r>
    </w:p>
    <w:p w14:paraId="28096B09" w14:textId="6A2C8633" w:rsidR="003D7947" w:rsidRPr="00FD1DC0" w:rsidRDefault="003D7947"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Ser</w:t>
      </w:r>
      <w:r w:rsidR="00AD4217" w:rsidRPr="00FD1DC0">
        <w:rPr>
          <w:rFonts w:ascii="Times New Roman" w:hAnsi="Times New Roman" w:cs="Times New Roman"/>
          <w:lang w:val="es-BO"/>
        </w:rPr>
        <w:t xml:space="preserve"> </w:t>
      </w:r>
      <w:r w:rsidR="00E619C2" w:rsidRPr="00FD1DC0">
        <w:rPr>
          <w:rFonts w:ascii="Times New Roman" w:hAnsi="Times New Roman" w:cs="Times New Roman"/>
          <w:lang w:val="es-BO"/>
        </w:rPr>
        <w:t>exacerbadamente</w:t>
      </w:r>
      <w:r w:rsidRPr="00FD1DC0">
        <w:rPr>
          <w:rFonts w:ascii="Times New Roman" w:hAnsi="Times New Roman" w:cs="Times New Roman"/>
          <w:lang w:val="es-BO"/>
        </w:rPr>
        <w:t xml:space="preserve"> rígida, generando problemas de </w:t>
      </w:r>
      <w:r w:rsidR="002E675C" w:rsidRPr="00FD1DC0">
        <w:rPr>
          <w:rFonts w:ascii="Times New Roman" w:hAnsi="Times New Roman" w:cs="Times New Roman"/>
          <w:lang w:val="es-BO"/>
        </w:rPr>
        <w:t xml:space="preserve">un posible </w:t>
      </w:r>
      <w:r w:rsidRPr="00FD1DC0">
        <w:rPr>
          <w:rFonts w:ascii="Times New Roman" w:hAnsi="Times New Roman" w:cs="Times New Roman"/>
          <w:lang w:val="es-BO"/>
        </w:rPr>
        <w:t>control</w:t>
      </w:r>
      <w:r w:rsidR="002E675C" w:rsidRPr="00FD1DC0">
        <w:rPr>
          <w:rFonts w:ascii="Times New Roman" w:hAnsi="Times New Roman" w:cs="Times New Roman"/>
          <w:lang w:val="es-BO"/>
        </w:rPr>
        <w:t xml:space="preserve"> total sobre el intervalo en el cual se moverá la tasa de inflación, asimismo también r</w:t>
      </w:r>
      <w:r w:rsidRPr="00FD1DC0">
        <w:rPr>
          <w:rFonts w:ascii="Times New Roman" w:hAnsi="Times New Roman" w:cs="Times New Roman"/>
          <w:lang w:val="es-BO"/>
        </w:rPr>
        <w:t>e</w:t>
      </w:r>
      <w:r w:rsidR="002E675C" w:rsidRPr="00FD1DC0">
        <w:rPr>
          <w:rFonts w:ascii="Times New Roman" w:hAnsi="Times New Roman" w:cs="Times New Roman"/>
          <w:lang w:val="es-BO"/>
        </w:rPr>
        <w:t>percute la</w:t>
      </w:r>
      <w:r w:rsidRPr="00FD1DC0">
        <w:rPr>
          <w:rFonts w:ascii="Times New Roman" w:hAnsi="Times New Roman" w:cs="Times New Roman"/>
          <w:lang w:val="es-BO"/>
        </w:rPr>
        <w:t xml:space="preserve"> inestabilidad de los instrumentos de política monetari</w:t>
      </w:r>
      <w:r w:rsidR="00AD4217" w:rsidRPr="00FD1DC0">
        <w:rPr>
          <w:rFonts w:ascii="Times New Roman" w:hAnsi="Times New Roman" w:cs="Times New Roman"/>
          <w:lang w:val="es-BO"/>
        </w:rPr>
        <w:t>a (es decir, fuerte volatilidad</w:t>
      </w:r>
      <w:r w:rsidRPr="00FD1DC0">
        <w:rPr>
          <w:rFonts w:ascii="Times New Roman" w:hAnsi="Times New Roman" w:cs="Times New Roman"/>
          <w:lang w:val="es-BO"/>
        </w:rPr>
        <w:t xml:space="preserve"> de los instrumentos), los cuales </w:t>
      </w:r>
      <w:r w:rsidR="00AD4217" w:rsidRPr="00FD1DC0">
        <w:rPr>
          <w:rFonts w:ascii="Times New Roman" w:hAnsi="Times New Roman" w:cs="Times New Roman"/>
          <w:lang w:val="es-BO"/>
        </w:rPr>
        <w:t xml:space="preserve">podrían terminar en afectar la volatilidad del producto y </w:t>
      </w:r>
      <w:r w:rsidR="002E675C" w:rsidRPr="00FD1DC0">
        <w:rPr>
          <w:rFonts w:ascii="Times New Roman" w:hAnsi="Times New Roman" w:cs="Times New Roman"/>
          <w:lang w:val="es-BO"/>
        </w:rPr>
        <w:t xml:space="preserve">posiblemente </w:t>
      </w:r>
      <w:r w:rsidRPr="00FD1DC0">
        <w:rPr>
          <w:rFonts w:ascii="Times New Roman" w:hAnsi="Times New Roman" w:cs="Times New Roman"/>
          <w:lang w:val="es-BO"/>
        </w:rPr>
        <w:t>desestabilizar el sistema financiero.</w:t>
      </w:r>
    </w:p>
    <w:p w14:paraId="51ED5E2C" w14:textId="7BB71C98" w:rsidR="003D7947" w:rsidRPr="00FD1DC0" w:rsidRDefault="003D7947"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 xml:space="preserve">Permitir mucha discrecionalidad, </w:t>
      </w:r>
      <w:r w:rsidR="00884390" w:rsidRPr="00FD1DC0">
        <w:rPr>
          <w:rFonts w:ascii="Times New Roman" w:hAnsi="Times New Roman" w:cs="Times New Roman"/>
          <w:lang w:val="es-BO"/>
        </w:rPr>
        <w:t>debido a</w:t>
      </w:r>
      <w:r w:rsidR="0018237D" w:rsidRPr="00FD1DC0">
        <w:rPr>
          <w:rFonts w:ascii="Times New Roman" w:hAnsi="Times New Roman" w:cs="Times New Roman"/>
          <w:lang w:val="es-BO"/>
        </w:rPr>
        <w:t xml:space="preserve"> que el Banco C</w:t>
      </w:r>
      <w:r w:rsidRPr="00FD1DC0">
        <w:rPr>
          <w:rFonts w:ascii="Times New Roman" w:hAnsi="Times New Roman" w:cs="Times New Roman"/>
          <w:lang w:val="es-BO"/>
        </w:rPr>
        <w:t>entral</w:t>
      </w:r>
      <w:r w:rsidR="008A230B" w:rsidRPr="00FD1DC0">
        <w:rPr>
          <w:rFonts w:ascii="Times New Roman" w:hAnsi="Times New Roman" w:cs="Times New Roman"/>
          <w:lang w:val="es-BO"/>
        </w:rPr>
        <w:t xml:space="preserve"> BC</w:t>
      </w:r>
      <w:r w:rsidRPr="00FD1DC0">
        <w:rPr>
          <w:rFonts w:ascii="Times New Roman" w:hAnsi="Times New Roman" w:cs="Times New Roman"/>
          <w:lang w:val="es-BO"/>
        </w:rPr>
        <w:t xml:space="preserve"> debe utilizar toda la información </w:t>
      </w:r>
      <w:r w:rsidR="00884390" w:rsidRPr="00FD1DC0">
        <w:rPr>
          <w:rFonts w:ascii="Times New Roman" w:hAnsi="Times New Roman" w:cs="Times New Roman"/>
          <w:lang w:val="es-BO"/>
        </w:rPr>
        <w:t>necesaria a su alcance</w:t>
      </w:r>
      <w:r w:rsidRPr="00FD1DC0">
        <w:rPr>
          <w:rFonts w:ascii="Times New Roman" w:hAnsi="Times New Roman" w:cs="Times New Roman"/>
          <w:lang w:val="es-BO"/>
        </w:rPr>
        <w:t xml:space="preserve"> para determinar la forma en que la política monetaria </w:t>
      </w:r>
      <w:r w:rsidR="0018237D" w:rsidRPr="00FD1DC0">
        <w:rPr>
          <w:rFonts w:ascii="Times New Roman" w:hAnsi="Times New Roman" w:cs="Times New Roman"/>
          <w:lang w:val="es-BO"/>
        </w:rPr>
        <w:t xml:space="preserve">lograra el objetivo </w:t>
      </w:r>
      <w:r w:rsidRPr="00FD1DC0">
        <w:rPr>
          <w:rFonts w:ascii="Times New Roman" w:hAnsi="Times New Roman" w:cs="Times New Roman"/>
          <w:lang w:val="es-BO"/>
        </w:rPr>
        <w:t>de</w:t>
      </w:r>
      <w:r w:rsidR="0018237D" w:rsidRPr="00FD1DC0">
        <w:rPr>
          <w:rFonts w:ascii="Times New Roman" w:hAnsi="Times New Roman" w:cs="Times New Roman"/>
          <w:lang w:val="es-BO"/>
        </w:rPr>
        <w:t xml:space="preserve"> inflación</w:t>
      </w:r>
      <w:r w:rsidR="00884390" w:rsidRPr="00FD1DC0">
        <w:rPr>
          <w:rFonts w:ascii="Times New Roman" w:hAnsi="Times New Roman" w:cs="Times New Roman"/>
          <w:lang w:val="es-BO"/>
        </w:rPr>
        <w:t>.</w:t>
      </w:r>
    </w:p>
    <w:p w14:paraId="0A38A8B2" w14:textId="4A42D5D8" w:rsidR="003D7947" w:rsidRPr="00FD1DC0" w:rsidRDefault="00750287"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I</w:t>
      </w:r>
      <w:r w:rsidR="0018237D" w:rsidRPr="00FD1DC0">
        <w:rPr>
          <w:rFonts w:ascii="Times New Roman" w:hAnsi="Times New Roman" w:cs="Times New Roman"/>
          <w:lang w:val="es-BO"/>
        </w:rPr>
        <w:t>nestabilidad del producto, explicada por la curva de Phillips en los segundos momentos negativa. Sin embargo, como lo señalan Corbo, Landerretche y</w:t>
      </w:r>
      <w:r w:rsidR="003D2F6C" w:rsidRPr="00FD1DC0">
        <w:rPr>
          <w:rFonts w:ascii="Times New Roman" w:hAnsi="Times New Roman" w:cs="Times New Roman"/>
          <w:lang w:val="es-BO"/>
        </w:rPr>
        <w:t xml:space="preserve"> Schmidt-Hebbel (</w:t>
      </w:r>
      <w:r w:rsidR="0018237D" w:rsidRPr="00FD1DC0">
        <w:rPr>
          <w:rFonts w:ascii="Times New Roman" w:hAnsi="Times New Roman" w:cs="Times New Roman"/>
          <w:lang w:val="es-BO"/>
        </w:rPr>
        <w:t xml:space="preserve">2002) y </w:t>
      </w:r>
      <w:r w:rsidR="003D2F6C" w:rsidRPr="00FD1DC0">
        <w:rPr>
          <w:rFonts w:ascii="Times New Roman" w:hAnsi="Times New Roman" w:cs="Times New Roman"/>
          <w:lang w:val="es-BO"/>
        </w:rPr>
        <w:t>Corbo y Schmidt Hebbel (</w:t>
      </w:r>
      <w:r w:rsidRPr="00FD1DC0">
        <w:rPr>
          <w:rFonts w:ascii="Times New Roman" w:hAnsi="Times New Roman" w:cs="Times New Roman"/>
          <w:lang w:val="es-BO"/>
        </w:rPr>
        <w:t>2001), la variabilidad</w:t>
      </w:r>
      <w:r w:rsidR="0018237D" w:rsidRPr="00FD1DC0">
        <w:rPr>
          <w:rFonts w:ascii="Times New Roman" w:hAnsi="Times New Roman" w:cs="Times New Roman"/>
          <w:lang w:val="es-BO"/>
        </w:rPr>
        <w:t xml:space="preserve"> del producto es menor en aquellos países que adoptaron el rég</w:t>
      </w:r>
      <w:r w:rsidR="00AC7854" w:rsidRPr="00FD1DC0">
        <w:rPr>
          <w:rFonts w:ascii="Times New Roman" w:hAnsi="Times New Roman" w:cs="Times New Roman"/>
          <w:lang w:val="es-BO"/>
        </w:rPr>
        <w:t>imen de objetivos de inflación ROI</w:t>
      </w:r>
      <w:r w:rsidR="0018237D" w:rsidRPr="00FD1DC0">
        <w:rPr>
          <w:rFonts w:ascii="Times New Roman" w:hAnsi="Times New Roman" w:cs="Times New Roman"/>
          <w:lang w:val="es-BO"/>
        </w:rPr>
        <w:t xml:space="preserve"> en lugar de aquéllos que no lo hicieron.</w:t>
      </w:r>
    </w:p>
    <w:p w14:paraId="23B8939D" w14:textId="30908381" w:rsidR="0018237D" w:rsidRPr="00FD1DC0" w:rsidRDefault="0018237D"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Disminuir el crecimiento económico.</w:t>
      </w:r>
    </w:p>
    <w:p w14:paraId="3311C601" w14:textId="5EF3FFB8" w:rsidR="00F57398" w:rsidRPr="00FD1DC0" w:rsidRDefault="00F57398"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 xml:space="preserve">El régimen </w:t>
      </w:r>
      <w:r w:rsidR="00440EE0" w:rsidRPr="00FD1DC0">
        <w:rPr>
          <w:rFonts w:ascii="Times New Roman" w:hAnsi="Times New Roman" w:cs="Times New Roman"/>
          <w:lang w:val="es-BO"/>
        </w:rPr>
        <w:t>de objetivos de inflación,</w:t>
      </w:r>
      <w:r w:rsidRPr="00FD1DC0">
        <w:rPr>
          <w:rFonts w:ascii="Times New Roman" w:hAnsi="Times New Roman" w:cs="Times New Roman"/>
          <w:lang w:val="es-BO"/>
        </w:rPr>
        <w:t xml:space="preserve"> no puede explicar el traspaso elevado del tipo de cambio a la inflación, </w:t>
      </w:r>
      <w:r w:rsidR="008B11BB" w:rsidRPr="00FD1DC0">
        <w:rPr>
          <w:rFonts w:ascii="Times New Roman" w:hAnsi="Times New Roman" w:cs="Times New Roman"/>
          <w:lang w:val="es-BO"/>
        </w:rPr>
        <w:t>propio</w:t>
      </w:r>
      <w:r w:rsidRPr="00FD1DC0">
        <w:rPr>
          <w:rFonts w:ascii="Times New Roman" w:hAnsi="Times New Roman" w:cs="Times New Roman"/>
          <w:lang w:val="es-BO"/>
        </w:rPr>
        <w:t xml:space="preserve"> de economías emergentes (Reinhart y Calvo, 2001).</w:t>
      </w:r>
    </w:p>
    <w:p w14:paraId="0514F7C9" w14:textId="62139A8C" w:rsidR="00F57398" w:rsidRPr="00FD1DC0" w:rsidRDefault="00F57398" w:rsidP="008F1902">
      <w:pPr>
        <w:pStyle w:val="Prrafodelista"/>
        <w:numPr>
          <w:ilvl w:val="0"/>
          <w:numId w:val="7"/>
        </w:numPr>
        <w:spacing w:after="0" w:line="360" w:lineRule="auto"/>
        <w:ind w:right="0"/>
        <w:rPr>
          <w:rFonts w:ascii="Times New Roman" w:hAnsi="Times New Roman" w:cs="Times New Roman"/>
          <w:lang w:val="es-BO"/>
        </w:rPr>
      </w:pPr>
      <w:r w:rsidRPr="00FD1DC0">
        <w:rPr>
          <w:rFonts w:ascii="Times New Roman" w:hAnsi="Times New Roman" w:cs="Times New Roman"/>
          <w:lang w:val="es-BO"/>
        </w:rPr>
        <w:t xml:space="preserve">El ROI </w:t>
      </w:r>
      <w:r w:rsidR="00747C6D" w:rsidRPr="00FD1DC0">
        <w:rPr>
          <w:rFonts w:ascii="Times New Roman" w:hAnsi="Times New Roman" w:cs="Times New Roman"/>
          <w:lang w:val="es-BO"/>
        </w:rPr>
        <w:t>supone una elevada sensibilidad</w:t>
      </w:r>
      <w:r w:rsidRPr="00FD1DC0">
        <w:rPr>
          <w:rFonts w:ascii="Times New Roman" w:hAnsi="Times New Roman" w:cs="Times New Roman"/>
          <w:lang w:val="es-BO"/>
        </w:rPr>
        <w:t xml:space="preserve"> de los flujos internacionales de capital respecto a los diferenciales de tasas de interés (Mántey, 2008). Asimismo, La teoría de la Paridad Descubierta de Tasas de Interés </w:t>
      </w:r>
      <w:r w:rsidR="00E505FB" w:rsidRPr="00FD1DC0">
        <w:rPr>
          <w:rFonts w:ascii="Times New Roman" w:hAnsi="Times New Roman" w:cs="Times New Roman"/>
          <w:lang w:val="es-BO"/>
        </w:rPr>
        <w:t>no ha sido aceptada</w:t>
      </w:r>
      <w:r w:rsidRPr="00FD1DC0">
        <w:rPr>
          <w:rFonts w:ascii="Times New Roman" w:hAnsi="Times New Roman" w:cs="Times New Roman"/>
          <w:lang w:val="es-BO"/>
        </w:rPr>
        <w:t xml:space="preserve"> por la evidencia empírica</w:t>
      </w:r>
      <w:r w:rsidR="00747C6D" w:rsidRPr="00FD1DC0">
        <w:rPr>
          <w:rFonts w:ascii="Times New Roman" w:hAnsi="Times New Roman" w:cs="Times New Roman"/>
          <w:lang w:val="es-BO"/>
        </w:rPr>
        <w:t xml:space="preserve"> </w:t>
      </w:r>
      <w:r w:rsidR="00E505FB" w:rsidRPr="00FD1DC0">
        <w:rPr>
          <w:rFonts w:ascii="Times New Roman" w:hAnsi="Times New Roman" w:cs="Times New Roman"/>
          <w:lang w:val="es-BO"/>
        </w:rPr>
        <w:t>internacional</w:t>
      </w:r>
      <w:r w:rsidRPr="00FD1DC0">
        <w:rPr>
          <w:rFonts w:ascii="Times New Roman" w:hAnsi="Times New Roman" w:cs="Times New Roman"/>
          <w:lang w:val="es-BO"/>
        </w:rPr>
        <w:t xml:space="preserve">. Sobre este aspecto </w:t>
      </w:r>
      <w:r w:rsidR="003D2F6C" w:rsidRPr="00FD1DC0">
        <w:rPr>
          <w:rFonts w:ascii="Times New Roman" w:hAnsi="Times New Roman" w:cs="Times New Roman"/>
          <w:lang w:val="es-BO"/>
        </w:rPr>
        <w:t>Toporowski (</w:t>
      </w:r>
      <w:r w:rsidRPr="00FD1DC0">
        <w:rPr>
          <w:rFonts w:ascii="Times New Roman" w:hAnsi="Times New Roman" w:cs="Times New Roman"/>
          <w:lang w:val="es-BO"/>
        </w:rPr>
        <w:t>2005), se</w:t>
      </w:r>
      <w:r w:rsidR="00E505FB" w:rsidRPr="00FD1DC0">
        <w:rPr>
          <w:rFonts w:ascii="Times New Roman" w:hAnsi="Times New Roman" w:cs="Times New Roman"/>
          <w:lang w:val="es-BO"/>
        </w:rPr>
        <w:t>ñala que una elevada sensibilidad</w:t>
      </w:r>
      <w:r w:rsidRPr="00FD1DC0">
        <w:rPr>
          <w:rFonts w:ascii="Times New Roman" w:hAnsi="Times New Roman" w:cs="Times New Roman"/>
          <w:lang w:val="es-BO"/>
        </w:rPr>
        <w:t xml:space="preserve"> de los flujos de capital externo respecto a la tasa de interés puede </w:t>
      </w:r>
      <w:r w:rsidR="00747C6D" w:rsidRPr="00FD1DC0">
        <w:rPr>
          <w:rFonts w:ascii="Times New Roman" w:hAnsi="Times New Roman" w:cs="Times New Roman"/>
          <w:lang w:val="es-BO"/>
        </w:rPr>
        <w:t>aceptarse</w:t>
      </w:r>
      <w:r w:rsidRPr="00FD1DC0">
        <w:rPr>
          <w:rFonts w:ascii="Times New Roman" w:hAnsi="Times New Roman" w:cs="Times New Roman"/>
          <w:lang w:val="es-BO"/>
        </w:rPr>
        <w:t xml:space="preserve"> en un país con moneda dura, es decir, mo</w:t>
      </w:r>
      <w:r w:rsidR="00E505FB" w:rsidRPr="00FD1DC0">
        <w:rPr>
          <w:rFonts w:ascii="Times New Roman" w:hAnsi="Times New Roman" w:cs="Times New Roman"/>
          <w:lang w:val="es-BO"/>
        </w:rPr>
        <w:t>neda de reserva, pero es irreal</w:t>
      </w:r>
      <w:r w:rsidRPr="00FD1DC0">
        <w:rPr>
          <w:rFonts w:ascii="Times New Roman" w:hAnsi="Times New Roman" w:cs="Times New Roman"/>
          <w:lang w:val="es-BO"/>
        </w:rPr>
        <w:t xml:space="preserve"> en países en desarrollo con mercados financieros estrechos y delgados y déficit crónico en la balanza de pagos, que debilitan sus monedas. </w:t>
      </w:r>
    </w:p>
    <w:p w14:paraId="48C143AB" w14:textId="141F7BE0" w:rsidR="00B13F49" w:rsidRPr="00FD1DC0" w:rsidRDefault="0086410B" w:rsidP="008F1902">
      <w:pPr>
        <w:pStyle w:val="Prrafodelista"/>
        <w:numPr>
          <w:ilvl w:val="0"/>
          <w:numId w:val="7"/>
        </w:numPr>
        <w:spacing w:after="0" w:line="360" w:lineRule="auto"/>
        <w:ind w:right="0"/>
        <w:rPr>
          <w:rFonts w:ascii="Times New Roman" w:hAnsi="Times New Roman" w:cs="Times New Roman"/>
          <w:szCs w:val="24"/>
          <w:lang w:val="es-BO"/>
        </w:rPr>
      </w:pPr>
      <w:r w:rsidRPr="00FD1DC0">
        <w:rPr>
          <w:rFonts w:ascii="Times New Roman" w:hAnsi="Times New Roman" w:cs="Times New Roman"/>
          <w:lang w:val="es-BO"/>
        </w:rPr>
        <w:t xml:space="preserve">Algunos estudios han demostrado que en la mayoría de </w:t>
      </w:r>
      <w:r w:rsidR="00977ADD" w:rsidRPr="00FD1DC0">
        <w:rPr>
          <w:rFonts w:ascii="Times New Roman" w:hAnsi="Times New Roman" w:cs="Times New Roman"/>
          <w:lang w:val="es-BO"/>
        </w:rPr>
        <w:t>los países en vías de desarrollo</w:t>
      </w:r>
      <w:r w:rsidRPr="00FD1DC0">
        <w:rPr>
          <w:rFonts w:ascii="Times New Roman" w:hAnsi="Times New Roman" w:cs="Times New Roman"/>
          <w:lang w:val="es-BO"/>
        </w:rPr>
        <w:t xml:space="preserve"> que utilizan el ROI, </w:t>
      </w:r>
      <w:r w:rsidR="00977ADD" w:rsidRPr="00FD1DC0">
        <w:rPr>
          <w:rFonts w:ascii="Times New Roman" w:hAnsi="Times New Roman" w:cs="Times New Roman"/>
          <w:lang w:val="es-BO"/>
        </w:rPr>
        <w:t xml:space="preserve">a menudo </w:t>
      </w:r>
      <w:r w:rsidRPr="00FD1DC0">
        <w:rPr>
          <w:rFonts w:ascii="Times New Roman" w:hAnsi="Times New Roman" w:cs="Times New Roman"/>
          <w:lang w:val="es-BO"/>
        </w:rPr>
        <w:t xml:space="preserve">no permiten la libre flotación, (Calvo y Reinhart, 2002; Hufner, 2004; Bofinger y Wollmershauser, 2001 y Mántey, 2006). </w:t>
      </w:r>
      <w:r w:rsidR="00B35F8A" w:rsidRPr="00FD1DC0">
        <w:rPr>
          <w:rFonts w:ascii="Times New Roman" w:hAnsi="Times New Roman" w:cs="Times New Roman"/>
          <w:lang w:val="es-BO"/>
        </w:rPr>
        <w:t>Por lo mismo, e</w:t>
      </w:r>
      <w:r w:rsidRPr="00FD1DC0">
        <w:rPr>
          <w:rFonts w:ascii="Times New Roman" w:hAnsi="Times New Roman" w:cs="Times New Roman"/>
          <w:lang w:val="es-BO"/>
        </w:rPr>
        <w:t>l hecho de utilizar</w:t>
      </w:r>
      <w:r w:rsidR="00977ADD" w:rsidRPr="00FD1DC0">
        <w:rPr>
          <w:rFonts w:ascii="Times New Roman" w:hAnsi="Times New Roman" w:cs="Times New Roman"/>
          <w:lang w:val="es-BO"/>
        </w:rPr>
        <w:t xml:space="preserve"> con relativa frecuencia</w:t>
      </w:r>
      <w:r w:rsidRPr="00FD1DC0">
        <w:rPr>
          <w:rFonts w:ascii="Times New Roman" w:hAnsi="Times New Roman" w:cs="Times New Roman"/>
          <w:lang w:val="es-BO"/>
        </w:rPr>
        <w:t xml:space="preserve"> la intervención en los mercados cambiarios, confirmaría el denominado “miedo a</w:t>
      </w:r>
      <w:r w:rsidR="00747C6D" w:rsidRPr="00FD1DC0">
        <w:rPr>
          <w:rFonts w:ascii="Times New Roman" w:hAnsi="Times New Roman" w:cs="Times New Roman"/>
          <w:lang w:val="es-BO"/>
        </w:rPr>
        <w:t xml:space="preserve"> flotar” en</w:t>
      </w:r>
      <w:r w:rsidR="00977ADD" w:rsidRPr="00FD1DC0">
        <w:rPr>
          <w:rFonts w:ascii="Times New Roman" w:hAnsi="Times New Roman" w:cs="Times New Roman"/>
          <w:lang w:val="es-BO"/>
        </w:rPr>
        <w:t xml:space="preserve"> economías emergentes</w:t>
      </w:r>
      <w:r w:rsidR="00B35F8A" w:rsidRPr="00FD1DC0">
        <w:rPr>
          <w:rFonts w:ascii="Times New Roman" w:hAnsi="Times New Roman" w:cs="Times New Roman"/>
          <w:lang w:val="es-BO"/>
        </w:rPr>
        <w:t xml:space="preserve">. </w:t>
      </w:r>
      <w:r w:rsidR="00977ADD" w:rsidRPr="00FD1DC0">
        <w:rPr>
          <w:rFonts w:ascii="Times New Roman" w:hAnsi="Times New Roman" w:cs="Times New Roman"/>
          <w:lang w:val="es-BO"/>
        </w:rPr>
        <w:t>Asimismo, e</w:t>
      </w:r>
      <w:r w:rsidR="00B35F8A" w:rsidRPr="00FD1DC0">
        <w:rPr>
          <w:rFonts w:ascii="Times New Roman" w:hAnsi="Times New Roman" w:cs="Times New Roman"/>
          <w:lang w:val="es-BO"/>
        </w:rPr>
        <w:t>n economías en vías de desarrollo,</w:t>
      </w:r>
      <w:r w:rsidRPr="00FD1DC0">
        <w:rPr>
          <w:rFonts w:ascii="Times New Roman" w:hAnsi="Times New Roman" w:cs="Times New Roman"/>
          <w:lang w:val="es-BO"/>
        </w:rPr>
        <w:t xml:space="preserve"> donde el tipo de cambio es una de </w:t>
      </w:r>
      <w:r w:rsidR="00747C6D" w:rsidRPr="00FD1DC0">
        <w:rPr>
          <w:rFonts w:ascii="Times New Roman" w:hAnsi="Times New Roman" w:cs="Times New Roman"/>
          <w:lang w:val="es-BO"/>
        </w:rPr>
        <w:t>las variables</w:t>
      </w:r>
      <w:r w:rsidRPr="00FD1DC0">
        <w:rPr>
          <w:rFonts w:ascii="Times New Roman" w:hAnsi="Times New Roman" w:cs="Times New Roman"/>
          <w:lang w:val="es-BO"/>
        </w:rPr>
        <w:t xml:space="preserve"> fundamentales de la</w:t>
      </w:r>
      <w:r w:rsidR="00977ADD" w:rsidRPr="00FD1DC0">
        <w:rPr>
          <w:rFonts w:ascii="Times New Roman" w:hAnsi="Times New Roman" w:cs="Times New Roman"/>
          <w:lang w:val="es-BO"/>
        </w:rPr>
        <w:t xml:space="preserve"> tasa de</w:t>
      </w:r>
      <w:r w:rsidRPr="00FD1DC0">
        <w:rPr>
          <w:rFonts w:ascii="Times New Roman" w:hAnsi="Times New Roman" w:cs="Times New Roman"/>
          <w:lang w:val="es-BO"/>
        </w:rPr>
        <w:t xml:space="preserve"> inflación</w:t>
      </w:r>
      <w:r w:rsidR="0075649D" w:rsidRPr="00FD1DC0">
        <w:rPr>
          <w:rFonts w:ascii="Times New Roman" w:hAnsi="Times New Roman" w:cs="Times New Roman"/>
          <w:lang w:val="es-BO"/>
        </w:rPr>
        <w:t>.</w:t>
      </w:r>
    </w:p>
    <w:p w14:paraId="66715280" w14:textId="45254F52" w:rsidR="00B35F8A" w:rsidRPr="00FD1DC0" w:rsidRDefault="00C43565" w:rsidP="008F1902">
      <w:pPr>
        <w:pStyle w:val="Prrafodelista"/>
        <w:numPr>
          <w:ilvl w:val="0"/>
          <w:numId w:val="7"/>
        </w:numPr>
        <w:spacing w:after="0" w:line="360" w:lineRule="auto"/>
        <w:ind w:right="0"/>
        <w:rPr>
          <w:rFonts w:ascii="Times New Roman" w:hAnsi="Times New Roman" w:cs="Times New Roman"/>
          <w:szCs w:val="24"/>
          <w:lang w:val="es-BO"/>
        </w:rPr>
      </w:pPr>
      <w:r w:rsidRPr="00FD1DC0">
        <w:rPr>
          <w:rFonts w:ascii="Times New Roman" w:hAnsi="Times New Roman" w:cs="Times New Roman"/>
          <w:szCs w:val="24"/>
          <w:lang w:val="es-BO"/>
        </w:rPr>
        <w:t xml:space="preserve">El régimen </w:t>
      </w:r>
      <w:r w:rsidR="001A637E" w:rsidRPr="00FD1DC0">
        <w:rPr>
          <w:rFonts w:ascii="Times New Roman" w:hAnsi="Times New Roman" w:cs="Times New Roman"/>
          <w:szCs w:val="24"/>
          <w:lang w:val="es-BO"/>
        </w:rPr>
        <w:t xml:space="preserve">de objetivos de inflación </w:t>
      </w:r>
      <w:r w:rsidRPr="00FD1DC0">
        <w:rPr>
          <w:rFonts w:ascii="Times New Roman" w:hAnsi="Times New Roman" w:cs="Times New Roman"/>
          <w:szCs w:val="24"/>
          <w:lang w:val="es-BO"/>
        </w:rPr>
        <w:t xml:space="preserve">en economías latinoamericanas como la economía mexicana y la brasileña muestra </w:t>
      </w:r>
      <w:r w:rsidR="003F45B2" w:rsidRPr="00FD1DC0">
        <w:rPr>
          <w:rFonts w:ascii="Times New Roman" w:hAnsi="Times New Roman" w:cs="Times New Roman"/>
          <w:szCs w:val="24"/>
          <w:lang w:val="es-BO"/>
        </w:rPr>
        <w:t>que, en economías que a menudo se caracterizan por la presencia de</w:t>
      </w:r>
      <w:r w:rsidR="0075649D" w:rsidRPr="00FD1DC0">
        <w:rPr>
          <w:rFonts w:ascii="Times New Roman" w:hAnsi="Times New Roman" w:cs="Times New Roman"/>
          <w:szCs w:val="24"/>
          <w:lang w:val="es-BO"/>
        </w:rPr>
        <w:t xml:space="preserve"> inflación </w:t>
      </w:r>
      <w:r w:rsidRPr="00FD1DC0">
        <w:rPr>
          <w:rFonts w:ascii="Times New Roman" w:hAnsi="Times New Roman" w:cs="Times New Roman"/>
          <w:szCs w:val="24"/>
          <w:lang w:val="es-BO"/>
        </w:rPr>
        <w:t>de tipo estructural y distintos choques económicos de carácter exógeno (variabilidad de los precios del petróleo y materias primas básicas de exportación), la regla de Taylor no logra el objetivo de inflación, asimismo las apreciaciones del tipo de cambio y el manejo y movimiento de las tasas de interés tiene</w:t>
      </w:r>
      <w:r w:rsidR="003F45B2" w:rsidRPr="00FD1DC0">
        <w:rPr>
          <w:rFonts w:ascii="Times New Roman" w:hAnsi="Times New Roman" w:cs="Times New Roman"/>
          <w:szCs w:val="24"/>
          <w:lang w:val="es-BO"/>
        </w:rPr>
        <w:t>n efectos económicos nocivos</w:t>
      </w:r>
      <w:r w:rsidRPr="00FD1DC0">
        <w:rPr>
          <w:rFonts w:ascii="Times New Roman" w:hAnsi="Times New Roman" w:cs="Times New Roman"/>
          <w:szCs w:val="24"/>
          <w:lang w:val="es-BO"/>
        </w:rPr>
        <w:t xml:space="preserve"> e imponen un costo real de la desinflación (Perrotini, 2007).</w:t>
      </w:r>
    </w:p>
    <w:p w14:paraId="4945AD61" w14:textId="1F6B0A3B" w:rsidR="00C73E3E" w:rsidRPr="00FD1DC0" w:rsidRDefault="00C73E3E" w:rsidP="008F1902">
      <w:pPr>
        <w:pStyle w:val="Prrafodelista"/>
        <w:numPr>
          <w:ilvl w:val="0"/>
          <w:numId w:val="7"/>
        </w:numPr>
        <w:spacing w:after="0" w:line="360" w:lineRule="auto"/>
        <w:ind w:right="539"/>
        <w:rPr>
          <w:rFonts w:ascii="Times New Roman" w:hAnsi="Times New Roman" w:cs="Times New Roman"/>
          <w:lang w:val="es-BO"/>
        </w:rPr>
      </w:pPr>
      <w:r w:rsidRPr="00FD1DC0">
        <w:rPr>
          <w:rFonts w:ascii="Times New Roman" w:hAnsi="Times New Roman" w:cs="Times New Roman"/>
          <w:lang w:val="es-BO"/>
        </w:rPr>
        <w:t xml:space="preserve">Por ultimo tenemos el tema de los flujos de capital como fuente de inestabilidad financiera en el marco </w:t>
      </w:r>
      <w:r w:rsidR="00F64C26" w:rsidRPr="00FD1DC0">
        <w:rPr>
          <w:rFonts w:ascii="Times New Roman" w:hAnsi="Times New Roman" w:cs="Times New Roman"/>
          <w:lang w:val="es-BO"/>
        </w:rPr>
        <w:t xml:space="preserve">de objetivos de inflación </w:t>
      </w:r>
      <w:r w:rsidRPr="00FD1DC0">
        <w:rPr>
          <w:rFonts w:ascii="Times New Roman" w:hAnsi="Times New Roman" w:cs="Times New Roman"/>
          <w:lang w:val="es-BO"/>
        </w:rPr>
        <w:t xml:space="preserve">y tipo de cambio flexible. En particular, es interesante ver la interacción entre la estabilidad de precios y la estabilidad financiera cuando una economía emergente y en vías de desarrollo, es </w:t>
      </w:r>
      <w:r w:rsidR="00856947" w:rsidRPr="00FD1DC0">
        <w:rPr>
          <w:rFonts w:ascii="Times New Roman" w:hAnsi="Times New Roman" w:cs="Times New Roman"/>
          <w:lang w:val="es-BO"/>
        </w:rPr>
        <w:t xml:space="preserve">elástica a flujos de capital volátiles </w:t>
      </w:r>
      <w:r w:rsidRPr="00FD1DC0">
        <w:rPr>
          <w:rFonts w:ascii="Times New Roman" w:hAnsi="Times New Roman" w:cs="Times New Roman"/>
          <w:lang w:val="es-BO"/>
        </w:rPr>
        <w:t xml:space="preserve">(Ostry </w:t>
      </w:r>
      <w:r w:rsidRPr="00FD1DC0">
        <w:rPr>
          <w:rFonts w:ascii="Times New Roman" w:hAnsi="Times New Roman" w:cs="Times New Roman"/>
          <w:i/>
          <w:lang w:val="es-BO"/>
        </w:rPr>
        <w:t>et al</w:t>
      </w:r>
      <w:r w:rsidRPr="00FD1DC0">
        <w:rPr>
          <w:rFonts w:ascii="Times New Roman" w:hAnsi="Times New Roman" w:cs="Times New Roman"/>
          <w:lang w:val="es-BO"/>
        </w:rPr>
        <w:t>., 2010).</w:t>
      </w:r>
    </w:p>
    <w:p w14:paraId="4099D892" w14:textId="7BA036EB" w:rsidR="008A582B" w:rsidRPr="00FD1DC0" w:rsidRDefault="004D288A" w:rsidP="008D25A4">
      <w:pPr>
        <w:spacing w:after="0" w:line="360" w:lineRule="auto"/>
        <w:ind w:left="50" w:right="0" w:firstLine="0"/>
        <w:jc w:val="left"/>
        <w:rPr>
          <w:b/>
          <w:lang w:val="es-BO"/>
        </w:rPr>
      </w:pPr>
      <w:r>
        <w:rPr>
          <w:b/>
          <w:lang w:val="es-BO"/>
        </w:rPr>
        <w:t>1.5</w:t>
      </w:r>
      <w:r w:rsidR="00CC1FBD" w:rsidRPr="00FD1DC0">
        <w:rPr>
          <w:b/>
          <w:lang w:val="es-BO"/>
        </w:rPr>
        <w:t xml:space="preserve"> </w:t>
      </w:r>
      <w:r w:rsidR="00B90DF3" w:rsidRPr="00FD1DC0">
        <w:rPr>
          <w:b/>
          <w:lang w:val="es-BO"/>
        </w:rPr>
        <w:t>Diferencias entre Modelos</w:t>
      </w:r>
      <w:r w:rsidR="00CC1FBD" w:rsidRPr="00FD1DC0">
        <w:rPr>
          <w:b/>
          <w:lang w:val="es-BO"/>
        </w:rPr>
        <w:t xml:space="preserve"> de Objetivos de Inflación</w:t>
      </w:r>
      <w:r w:rsidR="00B90DF3" w:rsidRPr="00FD1DC0">
        <w:rPr>
          <w:b/>
          <w:lang w:val="es-BO"/>
        </w:rPr>
        <w:t xml:space="preserve">, Flexibles y </w:t>
      </w:r>
      <w:r w:rsidR="00460E4D" w:rsidRPr="00FD1DC0">
        <w:rPr>
          <w:b/>
          <w:lang w:val="es-BO"/>
        </w:rPr>
        <w:t>Rígidos</w:t>
      </w:r>
    </w:p>
    <w:p w14:paraId="59D09E2D" w14:textId="5CA65EC9" w:rsidR="0088008F" w:rsidRPr="00FD1DC0" w:rsidRDefault="00AF3CF6" w:rsidP="008D25A4">
      <w:pPr>
        <w:spacing w:after="0" w:line="360" w:lineRule="auto"/>
        <w:ind w:right="539"/>
        <w:rPr>
          <w:rFonts w:ascii="Times New Roman" w:hAnsi="Times New Roman" w:cs="Times New Roman"/>
          <w:lang w:val="es-BO"/>
        </w:rPr>
      </w:pPr>
      <w:r w:rsidRPr="00FD1DC0">
        <w:rPr>
          <w:rFonts w:ascii="Times New Roman" w:hAnsi="Times New Roman" w:cs="Times New Roman"/>
          <w:lang w:val="es-BO"/>
        </w:rPr>
        <w:t>Respecto</w:t>
      </w:r>
      <w:r w:rsidR="0088008F" w:rsidRPr="00FD1DC0">
        <w:rPr>
          <w:rFonts w:ascii="Times New Roman" w:hAnsi="Times New Roman" w:cs="Times New Roman"/>
          <w:lang w:val="es-BO"/>
        </w:rPr>
        <w:t xml:space="preserve"> a los modelos de objetivo de inflación, </w:t>
      </w:r>
      <w:r w:rsidR="00D17FE8" w:rsidRPr="00FD1DC0">
        <w:rPr>
          <w:rFonts w:ascii="Times New Roman" w:hAnsi="Times New Roman" w:cs="Times New Roman"/>
          <w:lang w:val="es-BO"/>
        </w:rPr>
        <w:t xml:space="preserve">Svensson </w:t>
      </w:r>
      <w:r w:rsidR="003D2F6C" w:rsidRPr="00FD1DC0">
        <w:rPr>
          <w:rFonts w:ascii="Times New Roman" w:hAnsi="Times New Roman" w:cs="Times New Roman"/>
          <w:lang w:val="es-BO"/>
        </w:rPr>
        <w:t>y Rudebusch</w:t>
      </w:r>
      <w:r w:rsidR="00495575" w:rsidRPr="00FD1DC0">
        <w:rPr>
          <w:rFonts w:ascii="Times New Roman" w:hAnsi="Times New Roman" w:cs="Times New Roman"/>
          <w:lang w:val="es-BO"/>
        </w:rPr>
        <w:t xml:space="preserve"> </w:t>
      </w:r>
      <w:r w:rsidR="003D2F6C" w:rsidRPr="00FD1DC0">
        <w:rPr>
          <w:rFonts w:ascii="Times New Roman" w:hAnsi="Times New Roman" w:cs="Times New Roman"/>
          <w:lang w:val="es-BO"/>
        </w:rPr>
        <w:t>(</w:t>
      </w:r>
      <w:r w:rsidR="00495575" w:rsidRPr="00FD1DC0">
        <w:rPr>
          <w:rFonts w:ascii="Times New Roman" w:hAnsi="Times New Roman" w:cs="Times New Roman"/>
          <w:lang w:val="es-BO"/>
        </w:rPr>
        <w:t>1998</w:t>
      </w:r>
      <w:r w:rsidR="0088008F" w:rsidRPr="00FD1DC0">
        <w:rPr>
          <w:rFonts w:ascii="Times New Roman" w:hAnsi="Times New Roman" w:cs="Times New Roman"/>
          <w:lang w:val="es-BO"/>
        </w:rPr>
        <w:t xml:space="preserve">) </w:t>
      </w:r>
      <w:r w:rsidRPr="00FD1DC0">
        <w:rPr>
          <w:rFonts w:ascii="Times New Roman" w:hAnsi="Times New Roman" w:cs="Times New Roman"/>
          <w:lang w:val="es-BO"/>
        </w:rPr>
        <w:t>afirman</w:t>
      </w:r>
      <w:r w:rsidR="0088008F" w:rsidRPr="00FD1DC0">
        <w:rPr>
          <w:rFonts w:ascii="Times New Roman" w:hAnsi="Times New Roman" w:cs="Times New Roman"/>
          <w:lang w:val="es-BO"/>
        </w:rPr>
        <w:t xml:space="preserve"> que existen </w:t>
      </w:r>
      <w:r w:rsidR="00D17FE8" w:rsidRPr="00FD1DC0">
        <w:rPr>
          <w:rFonts w:ascii="Times New Roman" w:hAnsi="Times New Roman" w:cs="Times New Roman"/>
          <w:lang w:val="es-BO"/>
        </w:rPr>
        <w:t>ROI rígidos y ROI</w:t>
      </w:r>
      <w:r w:rsidR="0088008F" w:rsidRPr="00FD1DC0">
        <w:rPr>
          <w:rFonts w:ascii="Times New Roman" w:hAnsi="Times New Roman" w:cs="Times New Roman"/>
          <w:lang w:val="es-BO"/>
        </w:rPr>
        <w:t xml:space="preserve"> </w:t>
      </w:r>
      <w:r w:rsidRPr="00FD1DC0">
        <w:rPr>
          <w:rFonts w:ascii="Times New Roman" w:hAnsi="Times New Roman" w:cs="Times New Roman"/>
          <w:lang w:val="es-BO"/>
        </w:rPr>
        <w:t>flexibles. U</w:t>
      </w:r>
      <w:r w:rsidR="0088008F" w:rsidRPr="00FD1DC0">
        <w:rPr>
          <w:rFonts w:ascii="Times New Roman" w:hAnsi="Times New Roman" w:cs="Times New Roman"/>
          <w:lang w:val="es-BO"/>
        </w:rPr>
        <w:t xml:space="preserve">n </w:t>
      </w:r>
      <w:r w:rsidR="00F5352A" w:rsidRPr="00FD1DC0">
        <w:rPr>
          <w:rFonts w:ascii="Times New Roman" w:hAnsi="Times New Roman" w:cs="Times New Roman"/>
          <w:lang w:val="es-BO"/>
        </w:rPr>
        <w:t>ROI</w:t>
      </w:r>
      <w:r w:rsidR="0088008F" w:rsidRPr="00FD1DC0">
        <w:rPr>
          <w:rFonts w:ascii="Times New Roman" w:hAnsi="Times New Roman" w:cs="Times New Roman"/>
          <w:lang w:val="es-BO"/>
        </w:rPr>
        <w:t xml:space="preserve"> rígido es aquel en donde los Bancos Centrales se concentran únicamente en mantener la tasa de inflación cerca del objetivo. Asimismo, un </w:t>
      </w:r>
      <w:r w:rsidR="00591817" w:rsidRPr="00FD1DC0">
        <w:rPr>
          <w:rFonts w:ascii="Times New Roman" w:hAnsi="Times New Roman" w:cs="Times New Roman"/>
          <w:lang w:val="es-BO"/>
        </w:rPr>
        <w:t>ROI</w:t>
      </w:r>
      <w:r w:rsidR="0088008F" w:rsidRPr="00FD1DC0">
        <w:rPr>
          <w:rFonts w:ascii="Times New Roman" w:hAnsi="Times New Roman" w:cs="Times New Roman"/>
          <w:lang w:val="es-BO"/>
        </w:rPr>
        <w:t xml:space="preserve"> flexible es aquel en el cual los Bancos Centrales además de preocuparse por la estabilidad de precios, se preocupan al mismo tiempo de otras variables económicas, como ser las tasas de interés, el tipo de cambio, la producción y e</w:t>
      </w:r>
      <w:r w:rsidR="00883ADA" w:rsidRPr="00FD1DC0">
        <w:rPr>
          <w:rFonts w:ascii="Times New Roman" w:hAnsi="Times New Roman" w:cs="Times New Roman"/>
          <w:lang w:val="es-BO"/>
        </w:rPr>
        <w:t xml:space="preserve">l empleo </w:t>
      </w:r>
      <w:r w:rsidR="00F076A6" w:rsidRPr="00FD1DC0">
        <w:rPr>
          <w:rFonts w:ascii="Times New Roman" w:hAnsi="Times New Roman" w:cs="Times New Roman"/>
          <w:lang w:val="es-BO"/>
        </w:rPr>
        <w:t xml:space="preserve">(Svensson, </w:t>
      </w:r>
      <w:r w:rsidR="0088008F" w:rsidRPr="00FD1DC0">
        <w:rPr>
          <w:rFonts w:ascii="Times New Roman" w:hAnsi="Times New Roman" w:cs="Times New Roman"/>
          <w:lang w:val="es-BO"/>
        </w:rPr>
        <w:t>1997)</w:t>
      </w:r>
      <w:r w:rsidR="003D1499" w:rsidRPr="00FD1DC0">
        <w:rPr>
          <w:rFonts w:ascii="Times New Roman" w:hAnsi="Times New Roman" w:cs="Times New Roman"/>
          <w:lang w:val="es-BO"/>
        </w:rPr>
        <w:t>.</w:t>
      </w:r>
    </w:p>
    <w:p w14:paraId="5C14853D" w14:textId="69BE32C5" w:rsidR="004501E2" w:rsidRPr="00FD1DC0" w:rsidRDefault="004501E2" w:rsidP="008D25A4">
      <w:pPr>
        <w:spacing w:after="0" w:line="360" w:lineRule="auto"/>
        <w:ind w:left="51" w:right="539" w:firstLine="0"/>
        <w:rPr>
          <w:rFonts w:ascii="Times New Roman" w:hAnsi="Times New Roman" w:cs="Times New Roman"/>
          <w:lang w:val="es-BO"/>
        </w:rPr>
      </w:pPr>
      <w:r w:rsidRPr="00FD1DC0">
        <w:rPr>
          <w:rFonts w:ascii="Times New Roman" w:hAnsi="Times New Roman" w:cs="Times New Roman"/>
          <w:lang w:val="es-BO"/>
        </w:rPr>
        <w:t xml:space="preserve">En esa </w:t>
      </w:r>
      <w:r w:rsidR="00A0712A" w:rsidRPr="00FD1DC0">
        <w:rPr>
          <w:rFonts w:ascii="Times New Roman" w:hAnsi="Times New Roman" w:cs="Times New Roman"/>
          <w:lang w:val="es-BO"/>
        </w:rPr>
        <w:t>línea</w:t>
      </w:r>
      <w:r w:rsidRPr="00FD1DC0">
        <w:rPr>
          <w:rFonts w:ascii="Times New Roman" w:hAnsi="Times New Roman" w:cs="Times New Roman"/>
          <w:lang w:val="es-BO"/>
        </w:rPr>
        <w:t>, Laurence Ball (</w:t>
      </w:r>
      <w:r w:rsidR="00AF3CF6" w:rsidRPr="00FD1DC0">
        <w:rPr>
          <w:rFonts w:ascii="Times New Roman" w:hAnsi="Times New Roman" w:cs="Times New Roman"/>
          <w:lang w:val="es-BO"/>
        </w:rPr>
        <w:t>1997), siguiendo a</w:t>
      </w:r>
      <w:r w:rsidRPr="00FD1DC0">
        <w:rPr>
          <w:rFonts w:ascii="Times New Roman" w:hAnsi="Times New Roman" w:cs="Times New Roman"/>
          <w:lang w:val="es-BO"/>
        </w:rPr>
        <w:t xml:space="preserve"> Svensson (1996), sugiere una definición de</w:t>
      </w:r>
      <w:r w:rsidR="00E75D6D" w:rsidRPr="00FD1DC0">
        <w:rPr>
          <w:rFonts w:ascii="Times New Roman" w:hAnsi="Times New Roman" w:cs="Times New Roman"/>
          <w:lang w:val="es-BO"/>
        </w:rPr>
        <w:t xml:space="preserve"> un ROI</w:t>
      </w:r>
      <w:r w:rsidRPr="00FD1DC0">
        <w:rPr>
          <w:rFonts w:ascii="Times New Roman" w:hAnsi="Times New Roman" w:cs="Times New Roman"/>
          <w:lang w:val="es-BO"/>
        </w:rPr>
        <w:t xml:space="preserve"> estricto; </w:t>
      </w:r>
      <w:r w:rsidR="008A5C9B" w:rsidRPr="00FD1DC0">
        <w:rPr>
          <w:rFonts w:ascii="Times New Roman" w:hAnsi="Times New Roman" w:cs="Times New Roman"/>
          <w:lang w:val="es-BO"/>
        </w:rPr>
        <w:t>de tal forma que un ROI</w:t>
      </w:r>
      <w:r w:rsidRPr="00FD1DC0">
        <w:rPr>
          <w:rFonts w:ascii="Times New Roman" w:hAnsi="Times New Roman" w:cs="Times New Roman"/>
          <w:lang w:val="es-BO"/>
        </w:rPr>
        <w:t xml:space="preserve"> se circunscribe a una política que minimiza el segundo momento estadístico de la inflación respecto de su nivel promedio. La misma implica que el conjunto de políticas establece que </w:t>
      </w:r>
      <w:r w:rsidR="008755AC" w:rsidRPr="00FD1DC0">
        <w:rPr>
          <w:rFonts w:ascii="Times New Roman" w:hAnsi="Times New Roman" w:cs="Times New Roman"/>
          <w:lang w:val="es-BO"/>
        </w:rPr>
        <w:t xml:space="preserve">los desvíos de </w:t>
      </w:r>
      <w:r w:rsidR="00AF3CF6" w:rsidRPr="00FD1DC0">
        <w:rPr>
          <w:rFonts w:ascii="Times New Roman" w:hAnsi="Times New Roman" w:cs="Times New Roman"/>
          <w:lang w:val="es-BO"/>
        </w:rPr>
        <w:t>las expectativas de inflación</w:t>
      </w:r>
      <w:r w:rsidR="008755AC" w:rsidRPr="00FD1DC0">
        <w:rPr>
          <w:rFonts w:ascii="Times New Roman" w:hAnsi="Times New Roman" w:cs="Times New Roman"/>
          <w:lang w:val="es-BO"/>
        </w:rPr>
        <w:t xml:space="preserve"> en dos periodos se reduzcan</w:t>
      </w:r>
      <w:r w:rsidRPr="00FD1DC0">
        <w:rPr>
          <w:rFonts w:ascii="Times New Roman" w:hAnsi="Times New Roman" w:cs="Times New Roman"/>
          <w:lang w:val="es-BO"/>
        </w:rPr>
        <w:t xml:space="preserve"> a cero, lo cual </w:t>
      </w:r>
      <w:r w:rsidR="002D4EBE" w:rsidRPr="00FD1DC0">
        <w:rPr>
          <w:rFonts w:ascii="Times New Roman" w:hAnsi="Times New Roman" w:cs="Times New Roman"/>
          <w:lang w:val="es-BO"/>
        </w:rPr>
        <w:t xml:space="preserve">puede representarse </w:t>
      </w:r>
      <w:r w:rsidR="00AF3CF6" w:rsidRPr="00FD1DC0">
        <w:rPr>
          <w:rFonts w:ascii="Times New Roman" w:hAnsi="Times New Roman" w:cs="Times New Roman"/>
          <w:lang w:val="es-BO"/>
        </w:rPr>
        <w:t>por medio de</w:t>
      </w:r>
      <w:r w:rsidRPr="00FD1DC0">
        <w:rPr>
          <w:rFonts w:ascii="Times New Roman" w:hAnsi="Times New Roman" w:cs="Times New Roman"/>
          <w:lang w:val="es-BO"/>
        </w:rPr>
        <w:t xml:space="preserve"> la ecuación (1</w:t>
      </w:r>
      <w:r w:rsidR="002D4EBE" w:rsidRPr="00FD1DC0">
        <w:rPr>
          <w:rFonts w:ascii="Times New Roman" w:hAnsi="Times New Roman" w:cs="Times New Roman"/>
          <w:lang w:val="es-BO"/>
        </w:rPr>
        <w:t>.18</w:t>
      </w:r>
      <w:r w:rsidRPr="00FD1DC0">
        <w:rPr>
          <w:rFonts w:ascii="Times New Roman" w:hAnsi="Times New Roman" w:cs="Times New Roman"/>
          <w:lang w:val="es-BO"/>
        </w:rPr>
        <w:t>).</w:t>
      </w:r>
    </w:p>
    <w:p w14:paraId="0D6539C3" w14:textId="0F8C9186" w:rsidR="00E93239" w:rsidRPr="00FD1DC0" w:rsidRDefault="00E93239" w:rsidP="008D25A4">
      <w:pPr>
        <w:spacing w:after="0" w:line="360" w:lineRule="auto"/>
        <w:ind w:left="51" w:right="539" w:firstLine="0"/>
        <w:jc w:val="center"/>
        <w:rPr>
          <w:rFonts w:ascii="Times New Roman" w:hAnsi="Times New Roman" w:cs="Times New Roman"/>
          <w:lang w:val="es-BO"/>
        </w:rPr>
      </w:pPr>
      <w:r w:rsidRPr="00FD1DC0">
        <w:rPr>
          <w:rFonts w:ascii="Times New Roman" w:hAnsi="Times New Roman" w:cs="Times New Roman"/>
          <w:lang w:val="es-BO"/>
        </w:rPr>
        <w:t>E π</w:t>
      </w:r>
      <w:r w:rsidRPr="00FD1DC0">
        <w:rPr>
          <w:rFonts w:ascii="Times New Roman" w:hAnsi="Times New Roman" w:cs="Times New Roman"/>
          <w:vertAlign w:val="subscript"/>
          <w:lang w:val="es-BO"/>
        </w:rPr>
        <w:t xml:space="preserve">t+2 </w:t>
      </w:r>
      <w:r w:rsidRPr="00FD1DC0">
        <w:rPr>
          <w:rFonts w:ascii="Times New Roman" w:hAnsi="Times New Roman" w:cs="Times New Roman"/>
          <w:lang w:val="es-BO"/>
        </w:rPr>
        <w:t>= 0                   (1.18)</w:t>
      </w:r>
    </w:p>
    <w:p w14:paraId="2E55123A" w14:textId="24ED8A2E" w:rsidR="00477CB5" w:rsidRPr="00FD1DC0" w:rsidRDefault="00C72520" w:rsidP="008D25A4">
      <w:pPr>
        <w:spacing w:after="0" w:line="360" w:lineRule="auto"/>
        <w:ind w:left="51" w:right="539" w:firstLine="0"/>
        <w:rPr>
          <w:rFonts w:ascii="Times New Roman" w:hAnsi="Times New Roman" w:cs="Times New Roman"/>
          <w:lang w:val="es-BO"/>
        </w:rPr>
      </w:pPr>
      <w:r w:rsidRPr="00FD1DC0">
        <w:rPr>
          <w:rFonts w:ascii="Times New Roman" w:hAnsi="Times New Roman" w:cs="Times New Roman"/>
          <w:lang w:val="es-BO"/>
        </w:rPr>
        <w:t>Por lo que un ROI</w:t>
      </w:r>
      <w:r w:rsidR="00E93239" w:rsidRPr="00FD1DC0">
        <w:rPr>
          <w:rFonts w:ascii="Times New Roman" w:hAnsi="Times New Roman" w:cs="Times New Roman"/>
          <w:lang w:val="es-BO"/>
        </w:rPr>
        <w:t xml:space="preserve"> estricto, es una política monetaria eficiente que </w:t>
      </w:r>
      <w:r w:rsidR="00477CB5" w:rsidRPr="00FD1DC0">
        <w:rPr>
          <w:rFonts w:ascii="Times New Roman" w:hAnsi="Times New Roman" w:cs="Times New Roman"/>
          <w:lang w:val="es-BO"/>
        </w:rPr>
        <w:t xml:space="preserve">disminuye el segundo momento estadístico de la inflación y el producto, empero cuando los Bancos Centrales no se preocupan por </w:t>
      </w:r>
      <w:r w:rsidR="00E93239" w:rsidRPr="00FD1DC0">
        <w:rPr>
          <w:rFonts w:ascii="Times New Roman" w:hAnsi="Times New Roman" w:cs="Times New Roman"/>
          <w:lang w:val="es-BO"/>
        </w:rPr>
        <w:t>l</w:t>
      </w:r>
      <w:r w:rsidR="00477CB5" w:rsidRPr="00FD1DC0">
        <w:rPr>
          <w:rFonts w:ascii="Times New Roman" w:hAnsi="Times New Roman" w:cs="Times New Roman"/>
          <w:lang w:val="es-BO"/>
        </w:rPr>
        <w:t>a</w:t>
      </w:r>
      <w:r w:rsidR="00E93239" w:rsidRPr="00FD1DC0">
        <w:rPr>
          <w:rFonts w:ascii="Times New Roman" w:hAnsi="Times New Roman" w:cs="Times New Roman"/>
          <w:lang w:val="es-BO"/>
        </w:rPr>
        <w:t xml:space="preserve">s </w:t>
      </w:r>
      <w:r w:rsidR="00477CB5" w:rsidRPr="00FD1DC0">
        <w:rPr>
          <w:rFonts w:ascii="Times New Roman" w:hAnsi="Times New Roman" w:cs="Times New Roman"/>
          <w:lang w:val="es-BO"/>
        </w:rPr>
        <w:t xml:space="preserve">fluctuaciones del producto. Ahora, si bien </w:t>
      </w:r>
      <w:r w:rsidR="00E93239" w:rsidRPr="00FD1DC0">
        <w:rPr>
          <w:rFonts w:ascii="Times New Roman" w:hAnsi="Times New Roman" w:cs="Times New Roman"/>
          <w:lang w:val="es-BO"/>
        </w:rPr>
        <w:t xml:space="preserve">un </w:t>
      </w:r>
      <w:r w:rsidRPr="00FD1DC0">
        <w:rPr>
          <w:rFonts w:ascii="Times New Roman" w:hAnsi="Times New Roman" w:cs="Times New Roman"/>
          <w:lang w:val="es-BO"/>
        </w:rPr>
        <w:t>ROI</w:t>
      </w:r>
      <w:r w:rsidR="00477CB5" w:rsidRPr="00FD1DC0">
        <w:rPr>
          <w:rFonts w:ascii="Times New Roman" w:hAnsi="Times New Roman" w:cs="Times New Roman"/>
          <w:lang w:val="es-BO"/>
        </w:rPr>
        <w:t xml:space="preserve"> puede ser eficiente, solo logra ser óptimo en casos extremos.  </w:t>
      </w:r>
    </w:p>
    <w:p w14:paraId="3D212549" w14:textId="2D951B59" w:rsidR="00E73FD3" w:rsidRPr="00FD1DC0" w:rsidRDefault="00422951" w:rsidP="00E73FD3">
      <w:pPr>
        <w:spacing w:after="0" w:line="360" w:lineRule="auto"/>
        <w:ind w:left="51" w:right="539" w:firstLine="0"/>
        <w:rPr>
          <w:rFonts w:ascii="Times New Roman" w:hAnsi="Times New Roman" w:cs="Times New Roman"/>
          <w:lang w:val="es-BO"/>
        </w:rPr>
      </w:pPr>
      <w:r w:rsidRPr="00FD1DC0">
        <w:rPr>
          <w:rFonts w:ascii="Times New Roman" w:hAnsi="Times New Roman" w:cs="Times New Roman"/>
          <w:lang w:val="es-BO"/>
        </w:rPr>
        <w:t xml:space="preserve">Por último, de </w:t>
      </w:r>
      <w:r w:rsidR="00706338" w:rsidRPr="00FD1DC0">
        <w:rPr>
          <w:rFonts w:ascii="Times New Roman" w:hAnsi="Times New Roman" w:cs="Times New Roman"/>
          <w:lang w:val="es-BO"/>
        </w:rPr>
        <w:t xml:space="preserve">los diferentes tipos de </w:t>
      </w:r>
      <w:r w:rsidR="00E729E5" w:rsidRPr="00FD1DC0">
        <w:rPr>
          <w:rFonts w:ascii="Times New Roman" w:hAnsi="Times New Roman" w:cs="Times New Roman"/>
          <w:lang w:val="es-BO"/>
        </w:rPr>
        <w:t>ROI</w:t>
      </w:r>
      <w:r w:rsidR="00D703B7" w:rsidRPr="00FD1DC0">
        <w:rPr>
          <w:rFonts w:ascii="Times New Roman" w:hAnsi="Times New Roman" w:cs="Times New Roman"/>
          <w:lang w:val="es-BO"/>
        </w:rPr>
        <w:t xml:space="preserve">, Svensson </w:t>
      </w:r>
      <w:r w:rsidR="00603B55" w:rsidRPr="00FD1DC0">
        <w:rPr>
          <w:rFonts w:ascii="Times New Roman" w:hAnsi="Times New Roman" w:cs="Times New Roman"/>
          <w:lang w:val="es-BO"/>
        </w:rPr>
        <w:t>(1998</w:t>
      </w:r>
      <w:r w:rsidR="00D703B7" w:rsidRPr="00FD1DC0">
        <w:rPr>
          <w:rFonts w:ascii="Times New Roman" w:hAnsi="Times New Roman" w:cs="Times New Roman"/>
          <w:lang w:val="es-BO"/>
        </w:rPr>
        <w:t xml:space="preserve">) realiza un ejercicio de simulación de </w:t>
      </w:r>
      <w:r w:rsidR="00E729E5" w:rsidRPr="00FD1DC0">
        <w:rPr>
          <w:rFonts w:ascii="Times New Roman" w:hAnsi="Times New Roman" w:cs="Times New Roman"/>
          <w:lang w:val="es-BO"/>
        </w:rPr>
        <w:t>seis ROI</w:t>
      </w:r>
      <w:r w:rsidR="00D703B7" w:rsidRPr="00FD1DC0">
        <w:rPr>
          <w:rFonts w:ascii="Times New Roman" w:hAnsi="Times New Roman" w:cs="Times New Roman"/>
          <w:lang w:val="es-BO"/>
        </w:rPr>
        <w:t xml:space="preserve">, un </w:t>
      </w:r>
      <w:r w:rsidRPr="00FD1DC0">
        <w:rPr>
          <w:rFonts w:ascii="Times New Roman" w:hAnsi="Times New Roman" w:cs="Times New Roman"/>
          <w:lang w:val="es-BO"/>
        </w:rPr>
        <w:t xml:space="preserve">modelo </w:t>
      </w:r>
      <w:r w:rsidR="00C943AE" w:rsidRPr="00FD1DC0">
        <w:rPr>
          <w:rFonts w:ascii="Times New Roman" w:hAnsi="Times New Roman" w:cs="Times New Roman"/>
          <w:lang w:val="es-BO"/>
        </w:rPr>
        <w:t>estricto</w:t>
      </w:r>
      <w:r w:rsidRPr="00FD1DC0">
        <w:rPr>
          <w:rFonts w:ascii="Times New Roman" w:hAnsi="Times New Roman" w:cs="Times New Roman"/>
          <w:lang w:val="es-BO"/>
        </w:rPr>
        <w:t xml:space="preserve"> y flexible</w:t>
      </w:r>
      <w:r w:rsidR="00C943AE" w:rsidRPr="00FD1DC0">
        <w:rPr>
          <w:rFonts w:ascii="Times New Roman" w:hAnsi="Times New Roman" w:cs="Times New Roman"/>
          <w:lang w:val="es-BO"/>
        </w:rPr>
        <w:t xml:space="preserve"> que </w:t>
      </w:r>
      <w:r w:rsidRPr="00FD1DC0">
        <w:rPr>
          <w:rFonts w:ascii="Times New Roman" w:hAnsi="Times New Roman" w:cs="Times New Roman"/>
          <w:lang w:val="es-BO"/>
        </w:rPr>
        <w:t>se focaliza en la tasa de inflación doméstica</w:t>
      </w:r>
      <w:r w:rsidR="00C943AE" w:rsidRPr="00FD1DC0">
        <w:rPr>
          <w:rFonts w:ascii="Times New Roman" w:hAnsi="Times New Roman" w:cs="Times New Roman"/>
          <w:lang w:val="es-BO"/>
        </w:rPr>
        <w:t xml:space="preserve">, un modelo </w:t>
      </w:r>
      <w:r w:rsidR="000A5FAA" w:rsidRPr="00FD1DC0">
        <w:rPr>
          <w:rFonts w:ascii="Times New Roman" w:hAnsi="Times New Roman" w:cs="Times New Roman"/>
          <w:lang w:val="es-BO"/>
        </w:rPr>
        <w:t>rígido</w:t>
      </w:r>
      <w:r w:rsidRPr="00FD1DC0">
        <w:rPr>
          <w:rFonts w:ascii="Times New Roman" w:hAnsi="Times New Roman" w:cs="Times New Roman"/>
          <w:lang w:val="es-BO"/>
        </w:rPr>
        <w:t xml:space="preserve"> y a la par uno flexible</w:t>
      </w:r>
      <w:r w:rsidR="00603B55" w:rsidRPr="00FD1DC0">
        <w:rPr>
          <w:rFonts w:ascii="Times New Roman" w:hAnsi="Times New Roman" w:cs="Times New Roman"/>
          <w:lang w:val="es-BO"/>
        </w:rPr>
        <w:t xml:space="preserve"> que tiene como</w:t>
      </w:r>
      <w:r w:rsidR="000A5FAA" w:rsidRPr="00FD1DC0">
        <w:rPr>
          <w:rFonts w:ascii="Times New Roman" w:hAnsi="Times New Roman" w:cs="Times New Roman"/>
          <w:lang w:val="es-BO"/>
        </w:rPr>
        <w:t xml:space="preserve"> meta</w:t>
      </w:r>
      <w:r w:rsidR="00603B55" w:rsidRPr="00FD1DC0">
        <w:rPr>
          <w:rFonts w:ascii="Times New Roman" w:hAnsi="Times New Roman" w:cs="Times New Roman"/>
          <w:lang w:val="es-BO"/>
        </w:rPr>
        <w:t xml:space="preserve"> </w:t>
      </w:r>
      <w:r w:rsidR="000A5FAA" w:rsidRPr="00FD1DC0">
        <w:rPr>
          <w:rFonts w:ascii="Times New Roman" w:hAnsi="Times New Roman" w:cs="Times New Roman"/>
          <w:lang w:val="es-BO"/>
        </w:rPr>
        <w:t>al</w:t>
      </w:r>
      <w:r w:rsidR="00603B55" w:rsidRPr="00FD1DC0">
        <w:rPr>
          <w:rFonts w:ascii="Times New Roman" w:hAnsi="Times New Roman" w:cs="Times New Roman"/>
          <w:lang w:val="es-BO"/>
        </w:rPr>
        <w:t xml:space="preserve"> índice de precios al consumidor</w:t>
      </w:r>
      <w:r w:rsidR="00E729E5" w:rsidRPr="00FD1DC0">
        <w:rPr>
          <w:rFonts w:ascii="Times New Roman" w:hAnsi="Times New Roman" w:cs="Times New Roman"/>
          <w:lang w:val="es-BO"/>
        </w:rPr>
        <w:t xml:space="preserve"> IPC</w:t>
      </w:r>
      <w:r w:rsidR="00603B55" w:rsidRPr="00FD1DC0">
        <w:rPr>
          <w:rFonts w:ascii="Times New Roman" w:hAnsi="Times New Roman" w:cs="Times New Roman"/>
          <w:lang w:val="es-BO"/>
        </w:rPr>
        <w:t>,</w:t>
      </w:r>
      <w:r w:rsidRPr="00FD1DC0">
        <w:rPr>
          <w:rFonts w:ascii="Times New Roman" w:hAnsi="Times New Roman" w:cs="Times New Roman"/>
          <w:lang w:val="es-BO"/>
        </w:rPr>
        <w:t xml:space="preserve"> y por ultimo</w:t>
      </w:r>
      <w:r w:rsidR="00603B55" w:rsidRPr="00FD1DC0">
        <w:rPr>
          <w:rFonts w:ascii="Times New Roman" w:hAnsi="Times New Roman" w:cs="Times New Roman"/>
          <w:lang w:val="es-BO"/>
        </w:rPr>
        <w:t xml:space="preserve"> una regla de Taylor que tiene como objetivo la </w:t>
      </w:r>
      <w:r w:rsidR="000A5FAA" w:rsidRPr="00FD1DC0">
        <w:rPr>
          <w:rFonts w:ascii="Times New Roman" w:hAnsi="Times New Roman" w:cs="Times New Roman"/>
          <w:lang w:val="es-BO"/>
        </w:rPr>
        <w:t xml:space="preserve">tasa de </w:t>
      </w:r>
      <w:r w:rsidR="00603B55" w:rsidRPr="00FD1DC0">
        <w:rPr>
          <w:rFonts w:ascii="Times New Roman" w:hAnsi="Times New Roman" w:cs="Times New Roman"/>
          <w:lang w:val="es-BO"/>
        </w:rPr>
        <w:t>inflación</w:t>
      </w:r>
      <w:r w:rsidR="000A5FAA" w:rsidRPr="00FD1DC0">
        <w:rPr>
          <w:rFonts w:ascii="Times New Roman" w:hAnsi="Times New Roman" w:cs="Times New Roman"/>
          <w:lang w:val="es-BO"/>
        </w:rPr>
        <w:t xml:space="preserve"> nacional</w:t>
      </w:r>
      <w:r w:rsidRPr="00FD1DC0">
        <w:rPr>
          <w:rFonts w:ascii="Times New Roman" w:hAnsi="Times New Roman" w:cs="Times New Roman"/>
          <w:lang w:val="es-BO"/>
        </w:rPr>
        <w:t xml:space="preserve"> y como</w:t>
      </w:r>
      <w:r w:rsidR="00E729E5" w:rsidRPr="00FD1DC0">
        <w:rPr>
          <w:rFonts w:ascii="Times New Roman" w:hAnsi="Times New Roman" w:cs="Times New Roman"/>
          <w:lang w:val="es-BO"/>
        </w:rPr>
        <w:t xml:space="preserve"> meta un IPC</w:t>
      </w:r>
      <w:r w:rsidR="000A5FAA" w:rsidRPr="00FD1DC0">
        <w:rPr>
          <w:rFonts w:ascii="Times New Roman" w:hAnsi="Times New Roman" w:cs="Times New Roman"/>
          <w:lang w:val="es-BO"/>
        </w:rPr>
        <w:t xml:space="preserve">. </w:t>
      </w:r>
      <w:r w:rsidR="00603B55" w:rsidRPr="00FD1DC0">
        <w:rPr>
          <w:rFonts w:ascii="Times New Roman" w:hAnsi="Times New Roman" w:cs="Times New Roman"/>
          <w:lang w:val="es-BO"/>
        </w:rPr>
        <w:t>Donde</w:t>
      </w:r>
      <w:r w:rsidR="000A5FAA" w:rsidRPr="00FD1DC0">
        <w:rPr>
          <w:rFonts w:ascii="Times New Roman" w:hAnsi="Times New Roman" w:cs="Times New Roman"/>
          <w:lang w:val="es-BO"/>
        </w:rPr>
        <w:t xml:space="preserve"> se concluye</w:t>
      </w:r>
      <w:r w:rsidR="00603B55" w:rsidRPr="00FD1DC0">
        <w:rPr>
          <w:rFonts w:ascii="Times New Roman" w:hAnsi="Times New Roman" w:cs="Times New Roman"/>
          <w:lang w:val="es-BO"/>
        </w:rPr>
        <w:t xml:space="preserve"> que </w:t>
      </w:r>
      <w:r w:rsidR="000A5FAA" w:rsidRPr="00FD1DC0">
        <w:rPr>
          <w:rFonts w:ascii="Times New Roman" w:hAnsi="Times New Roman" w:cs="Times New Roman"/>
          <w:lang w:val="es-BO"/>
        </w:rPr>
        <w:t xml:space="preserve">la regla de Taylor </w:t>
      </w:r>
      <w:r w:rsidR="00603B55" w:rsidRPr="00FD1DC0">
        <w:rPr>
          <w:rFonts w:ascii="Times New Roman" w:hAnsi="Times New Roman" w:cs="Times New Roman"/>
          <w:lang w:val="es-BO"/>
        </w:rPr>
        <w:t xml:space="preserve">con </w:t>
      </w:r>
      <w:r w:rsidRPr="00FD1DC0">
        <w:rPr>
          <w:rFonts w:ascii="Times New Roman" w:hAnsi="Times New Roman" w:cs="Times New Roman"/>
          <w:lang w:val="es-BO"/>
        </w:rPr>
        <w:t>la tasa de inflación doméstica</w:t>
      </w:r>
      <w:r w:rsidR="000A5FAA" w:rsidRPr="00FD1DC0">
        <w:rPr>
          <w:rFonts w:ascii="Times New Roman" w:hAnsi="Times New Roman" w:cs="Times New Roman"/>
          <w:lang w:val="es-BO"/>
        </w:rPr>
        <w:t xml:space="preserve"> es la </w:t>
      </w:r>
      <w:r w:rsidR="00603B55" w:rsidRPr="00FD1DC0">
        <w:rPr>
          <w:rFonts w:ascii="Times New Roman" w:hAnsi="Times New Roman" w:cs="Times New Roman"/>
          <w:lang w:val="es-BO"/>
        </w:rPr>
        <w:t>que</w:t>
      </w:r>
      <w:r w:rsidR="000A5FAA" w:rsidRPr="00FD1DC0">
        <w:rPr>
          <w:rFonts w:ascii="Times New Roman" w:hAnsi="Times New Roman" w:cs="Times New Roman"/>
          <w:lang w:val="es-BO"/>
        </w:rPr>
        <w:t xml:space="preserve"> </w:t>
      </w:r>
      <w:r w:rsidR="00603B55" w:rsidRPr="00FD1DC0">
        <w:rPr>
          <w:rFonts w:ascii="Times New Roman" w:hAnsi="Times New Roman" w:cs="Times New Roman"/>
          <w:lang w:val="es-BO"/>
        </w:rPr>
        <w:t xml:space="preserve">puede </w:t>
      </w:r>
      <w:r w:rsidRPr="00FD1DC0">
        <w:rPr>
          <w:rFonts w:ascii="Times New Roman" w:hAnsi="Times New Roman" w:cs="Times New Roman"/>
          <w:lang w:val="es-BO"/>
        </w:rPr>
        <w:t>afectar de manera más contundente y significativa</w:t>
      </w:r>
      <w:r w:rsidR="000A5FAA" w:rsidRPr="00FD1DC0">
        <w:rPr>
          <w:rFonts w:ascii="Times New Roman" w:hAnsi="Times New Roman" w:cs="Times New Roman"/>
          <w:lang w:val="es-BO"/>
        </w:rPr>
        <w:t xml:space="preserve"> sobre la </w:t>
      </w:r>
      <w:r w:rsidRPr="00FD1DC0">
        <w:rPr>
          <w:rFonts w:ascii="Times New Roman" w:hAnsi="Times New Roman" w:cs="Times New Roman"/>
          <w:lang w:val="es-BO"/>
        </w:rPr>
        <w:t xml:space="preserve">tasa de </w:t>
      </w:r>
      <w:r w:rsidR="000A5FAA" w:rsidRPr="00FD1DC0">
        <w:rPr>
          <w:rFonts w:ascii="Times New Roman" w:hAnsi="Times New Roman" w:cs="Times New Roman"/>
          <w:lang w:val="es-BO"/>
        </w:rPr>
        <w:t xml:space="preserve">inflación </w:t>
      </w:r>
      <w:r w:rsidRPr="00FD1DC0">
        <w:rPr>
          <w:rFonts w:ascii="Times New Roman" w:hAnsi="Times New Roman" w:cs="Times New Roman"/>
          <w:lang w:val="es-BO"/>
        </w:rPr>
        <w:t>y el producto</w:t>
      </w:r>
      <w:r w:rsidR="000A5FAA" w:rsidRPr="00FD1DC0">
        <w:rPr>
          <w:rFonts w:ascii="Times New Roman" w:hAnsi="Times New Roman" w:cs="Times New Roman"/>
          <w:lang w:val="es-BO"/>
        </w:rPr>
        <w:t>.</w:t>
      </w:r>
    </w:p>
    <w:p w14:paraId="053584E0" w14:textId="56791C3A" w:rsidR="00E73FD3" w:rsidRPr="00FD1DC0" w:rsidRDefault="00DE341B" w:rsidP="00E73FD3">
      <w:pPr>
        <w:spacing w:after="0" w:line="360" w:lineRule="auto"/>
        <w:ind w:left="50" w:right="0" w:firstLine="0"/>
        <w:jc w:val="left"/>
        <w:rPr>
          <w:b/>
          <w:lang w:val="es-BO"/>
        </w:rPr>
      </w:pPr>
      <w:r>
        <w:rPr>
          <w:b/>
          <w:lang w:val="es-BO"/>
        </w:rPr>
        <w:t>1.6</w:t>
      </w:r>
      <w:r w:rsidR="00E73FD3" w:rsidRPr="00FD1DC0">
        <w:rPr>
          <w:b/>
          <w:lang w:val="es-BO"/>
        </w:rPr>
        <w:t xml:space="preserve"> Miedo a Flotar y el Régimen de Tipo de Cambio de Flotación Manejada</w:t>
      </w:r>
    </w:p>
    <w:p w14:paraId="71373EB1" w14:textId="648EF164" w:rsidR="00E73FD3" w:rsidRPr="00FD1DC0" w:rsidRDefault="00E73FD3" w:rsidP="00E73FD3">
      <w:pPr>
        <w:spacing w:after="0" w:line="360" w:lineRule="auto"/>
        <w:ind w:left="45" w:right="535"/>
        <w:rPr>
          <w:rFonts w:ascii="Times New Roman" w:hAnsi="Times New Roman" w:cs="Times New Roman"/>
          <w:lang w:val="es-BO"/>
        </w:rPr>
      </w:pPr>
      <w:r w:rsidRPr="00FD1DC0">
        <w:rPr>
          <w:rFonts w:ascii="Times New Roman" w:hAnsi="Times New Roman" w:cs="Times New Roman"/>
          <w:lang w:val="es-BO"/>
        </w:rPr>
        <w:t xml:space="preserve">Calvo y Reinhart (2002) utilizando una muestra de países, estudian si </w:t>
      </w:r>
      <w:r w:rsidR="009A22A9" w:rsidRPr="00FD1DC0">
        <w:rPr>
          <w:rFonts w:ascii="Times New Roman" w:hAnsi="Times New Roman" w:cs="Times New Roman"/>
          <w:lang w:val="es-BO"/>
        </w:rPr>
        <w:t>el miedo a flotar se cumple realmente</w:t>
      </w:r>
      <w:r w:rsidRPr="00FD1DC0">
        <w:rPr>
          <w:rFonts w:ascii="Times New Roman" w:hAnsi="Times New Roman" w:cs="Times New Roman"/>
          <w:lang w:val="es-BO"/>
        </w:rPr>
        <w:t>. Su documento de investigación analiza el comportamiento que ha tenido el tipo de cambio, reservas, y tasas de interés, y si ella concuerda con el régimen reportado por el</w:t>
      </w:r>
      <w:r w:rsidR="00356A99" w:rsidRPr="00FD1DC0">
        <w:rPr>
          <w:rFonts w:ascii="Times New Roman" w:hAnsi="Times New Roman" w:cs="Times New Roman"/>
          <w:lang w:val="es-BO"/>
        </w:rPr>
        <w:t xml:space="preserve"> Fondo Monetario Internacional FMI</w:t>
      </w:r>
      <w:r w:rsidRPr="00FD1DC0">
        <w:rPr>
          <w:rFonts w:ascii="Times New Roman" w:hAnsi="Times New Roman" w:cs="Times New Roman"/>
          <w:lang w:val="es-BO"/>
        </w:rPr>
        <w:t xml:space="preserve">. La muestra que toman son datos de frecuencia mensual para 39 países (desarrollados y en desarrollo), durante 1970-1999. Calvo y Reinhart encuentran ciertamente que los países, en general, tienen miedo a flotar. </w:t>
      </w:r>
    </w:p>
    <w:p w14:paraId="6F6D0AC7" w14:textId="60CC95B7" w:rsidR="00E73FD3" w:rsidRPr="00FD1DC0" w:rsidRDefault="006F5709" w:rsidP="00E73FD3">
      <w:pPr>
        <w:spacing w:after="0" w:line="360" w:lineRule="auto"/>
        <w:ind w:left="45" w:right="535"/>
        <w:rPr>
          <w:rFonts w:ascii="Times New Roman" w:hAnsi="Times New Roman" w:cs="Times New Roman"/>
          <w:lang w:val="es-BO"/>
        </w:rPr>
      </w:pPr>
      <w:r w:rsidRPr="00FD1DC0">
        <w:rPr>
          <w:rFonts w:ascii="Times New Roman" w:hAnsi="Times New Roman" w:cs="Times New Roman"/>
          <w:lang w:val="es-BO"/>
        </w:rPr>
        <w:t xml:space="preserve">Los resultados </w:t>
      </w:r>
      <w:r w:rsidR="00E73FD3" w:rsidRPr="00FD1DC0">
        <w:rPr>
          <w:rFonts w:ascii="Times New Roman" w:hAnsi="Times New Roman" w:cs="Times New Roman"/>
          <w:lang w:val="es-BO"/>
        </w:rPr>
        <w:t xml:space="preserve">que encuentran ambos autores son: </w:t>
      </w:r>
    </w:p>
    <w:p w14:paraId="45436582" w14:textId="77777777" w:rsidR="00E73FD3" w:rsidRPr="00FD1DC0" w:rsidRDefault="00E73FD3" w:rsidP="008F1902">
      <w:pPr>
        <w:numPr>
          <w:ilvl w:val="0"/>
          <w:numId w:val="1"/>
        </w:numPr>
        <w:spacing w:after="0" w:line="360" w:lineRule="auto"/>
        <w:ind w:right="535"/>
        <w:rPr>
          <w:rFonts w:ascii="Times New Roman" w:hAnsi="Times New Roman" w:cs="Times New Roman"/>
          <w:lang w:val="es-BO"/>
        </w:rPr>
      </w:pPr>
      <w:r w:rsidRPr="00FD1DC0">
        <w:rPr>
          <w:rFonts w:ascii="Times New Roman" w:hAnsi="Times New Roman" w:cs="Times New Roman"/>
          <w:lang w:val="es-BO"/>
        </w:rPr>
        <w:t xml:space="preserve">La frecuencia y amplitud de las variaciones en los tipos de cambio de los países que se auto-definieron como régimen de tipo de cambio fluctuante, no era sensiblemente mayor que en los países con tipos de cambio fijos. </w:t>
      </w:r>
    </w:p>
    <w:p w14:paraId="459A17C0" w14:textId="77777777" w:rsidR="00E73FD3" w:rsidRPr="00FD1DC0" w:rsidRDefault="00E73FD3" w:rsidP="008F1902">
      <w:pPr>
        <w:numPr>
          <w:ilvl w:val="0"/>
          <w:numId w:val="1"/>
        </w:numPr>
        <w:spacing w:after="0" w:line="360" w:lineRule="auto"/>
        <w:ind w:right="535"/>
        <w:rPr>
          <w:rFonts w:ascii="Times New Roman" w:hAnsi="Times New Roman" w:cs="Times New Roman"/>
          <w:lang w:val="es-BO"/>
        </w:rPr>
      </w:pPr>
      <w:r w:rsidRPr="00FD1DC0">
        <w:rPr>
          <w:rFonts w:ascii="Times New Roman" w:hAnsi="Times New Roman" w:cs="Times New Roman"/>
          <w:lang w:val="es-BO"/>
        </w:rPr>
        <w:t xml:space="preserve">La volatilidad de las reservas internacionales en los flotadores era superior que en los países que se declaraban con tipos de cambio fijos. </w:t>
      </w:r>
    </w:p>
    <w:p w14:paraId="1E87704B" w14:textId="77777777" w:rsidR="00152F64" w:rsidRPr="00FD1DC0" w:rsidRDefault="00681940" w:rsidP="00DC1C18">
      <w:pPr>
        <w:spacing w:after="0" w:line="360" w:lineRule="auto"/>
        <w:ind w:left="45" w:right="535"/>
        <w:rPr>
          <w:rFonts w:ascii="Times New Roman" w:hAnsi="Times New Roman" w:cs="Times New Roman"/>
          <w:lang w:val="es-BO"/>
        </w:rPr>
      </w:pPr>
      <w:r w:rsidRPr="00FD1DC0">
        <w:rPr>
          <w:rFonts w:ascii="Times New Roman" w:hAnsi="Times New Roman" w:cs="Times New Roman"/>
          <w:lang w:val="es-BO"/>
        </w:rPr>
        <w:t xml:space="preserve">Ahora en el caso particular de México y Brasil </w:t>
      </w:r>
      <w:r w:rsidR="00DC1C18" w:rsidRPr="00FD1DC0">
        <w:rPr>
          <w:rFonts w:ascii="Times New Roman" w:hAnsi="Times New Roman" w:cs="Times New Roman"/>
          <w:lang w:val="es-BO"/>
        </w:rPr>
        <w:t>la presencia del denominado “miedo a flotar” todavía se la puede visualizar de manera e</w:t>
      </w:r>
      <w:r w:rsidRPr="00FD1DC0">
        <w:rPr>
          <w:rFonts w:ascii="Times New Roman" w:hAnsi="Times New Roman" w:cs="Times New Roman"/>
          <w:lang w:val="es-BO"/>
        </w:rPr>
        <w:t>vidente</w:t>
      </w:r>
      <w:r w:rsidR="00DC1C18" w:rsidRPr="00FD1DC0">
        <w:rPr>
          <w:rFonts w:ascii="Times New Roman" w:hAnsi="Times New Roman" w:cs="Times New Roman"/>
          <w:lang w:val="es-BO"/>
        </w:rPr>
        <w:t xml:space="preserve"> en</w:t>
      </w:r>
      <w:r w:rsidRPr="00FD1DC0">
        <w:rPr>
          <w:rFonts w:ascii="Times New Roman" w:hAnsi="Times New Roman" w:cs="Times New Roman"/>
          <w:lang w:val="es-BO"/>
        </w:rPr>
        <w:t xml:space="preserve"> el parámetro que captura el efecto del tipo de cambio hacia la inflación</w:t>
      </w:r>
      <w:r w:rsidR="00DC1C18" w:rsidRPr="00FD1DC0">
        <w:rPr>
          <w:rFonts w:ascii="Times New Roman" w:hAnsi="Times New Roman" w:cs="Times New Roman"/>
          <w:lang w:val="es-BO"/>
        </w:rPr>
        <w:t xml:space="preserve">, </w:t>
      </w:r>
      <w:r w:rsidR="00152F64" w:rsidRPr="00FD1DC0">
        <w:rPr>
          <w:rFonts w:ascii="Times New Roman" w:hAnsi="Times New Roman" w:cs="Times New Roman"/>
          <w:lang w:val="es-BO"/>
        </w:rPr>
        <w:t>que,</w:t>
      </w:r>
      <w:r w:rsidR="00DC1C18" w:rsidRPr="00FD1DC0">
        <w:rPr>
          <w:rFonts w:ascii="Times New Roman" w:hAnsi="Times New Roman" w:cs="Times New Roman"/>
          <w:lang w:val="es-BO"/>
        </w:rPr>
        <w:t xml:space="preserve"> si bien este parámetro</w:t>
      </w:r>
      <w:r w:rsidRPr="00FD1DC0">
        <w:rPr>
          <w:rFonts w:ascii="Times New Roman" w:hAnsi="Times New Roman" w:cs="Times New Roman"/>
          <w:lang w:val="es-BO"/>
        </w:rPr>
        <w:t xml:space="preserve"> ha disminuido en los últimos años, pero no</w:t>
      </w:r>
      <w:r w:rsidR="00DC1C18" w:rsidRPr="00FD1DC0">
        <w:rPr>
          <w:rFonts w:ascii="Times New Roman" w:hAnsi="Times New Roman" w:cs="Times New Roman"/>
          <w:lang w:val="es-BO"/>
        </w:rPr>
        <w:t xml:space="preserve"> ha sido</w:t>
      </w:r>
      <w:r w:rsidRPr="00FD1DC0">
        <w:rPr>
          <w:rFonts w:ascii="Times New Roman" w:hAnsi="Times New Roman" w:cs="Times New Roman"/>
          <w:lang w:val="es-BO"/>
        </w:rPr>
        <w:t xml:space="preserve"> al grado de anular por completo el denominado “miedo a flotar” y la misma es explicado en gran medida por las características estructurales que ambos países tienen</w:t>
      </w:r>
      <w:r w:rsidR="00152F64" w:rsidRPr="00FD1DC0">
        <w:rPr>
          <w:rFonts w:ascii="Times New Roman" w:hAnsi="Times New Roman" w:cs="Times New Roman"/>
          <w:lang w:val="es-BO"/>
        </w:rPr>
        <w:t xml:space="preserve">. </w:t>
      </w:r>
    </w:p>
    <w:p w14:paraId="0198EE33" w14:textId="570355CD" w:rsidR="00681940" w:rsidRPr="00FD1DC0" w:rsidRDefault="00152F64" w:rsidP="00D473C2">
      <w:pPr>
        <w:spacing w:after="0" w:line="360" w:lineRule="auto"/>
        <w:ind w:right="535"/>
        <w:rPr>
          <w:rFonts w:ascii="Times New Roman" w:hAnsi="Times New Roman" w:cs="Times New Roman"/>
          <w:lang w:val="es-BO"/>
        </w:rPr>
      </w:pPr>
      <w:r w:rsidRPr="00FD1DC0">
        <w:rPr>
          <w:rFonts w:ascii="Times New Roman" w:hAnsi="Times New Roman" w:cs="Times New Roman"/>
          <w:lang w:val="es-BO"/>
        </w:rPr>
        <w:t>E</w:t>
      </w:r>
      <w:r w:rsidR="00DC1C18" w:rsidRPr="00FD1DC0">
        <w:rPr>
          <w:rFonts w:ascii="Times New Roman" w:hAnsi="Times New Roman" w:cs="Times New Roman"/>
          <w:lang w:val="es-BO"/>
        </w:rPr>
        <w:t>n el caso de México el tipo de cambio nominal no tiene trascendencia significativa sobre las exportaciones, pero si tiene un efecto significativo sobre las importaciones, explicado en gran medida por la alta dependencia tecnológica y por el enorme contenido importado que tiene las exportaciones mexicanas, debido en parte a que el 80% del PIB de México depende del comercio exterior</w:t>
      </w:r>
      <w:r w:rsidRPr="00FD1DC0">
        <w:rPr>
          <w:rFonts w:ascii="Times New Roman" w:hAnsi="Times New Roman" w:cs="Times New Roman"/>
          <w:lang w:val="es-BO"/>
        </w:rPr>
        <w:t xml:space="preserve">, ahora a ello se suma el tema de la institucionalidad y transparencia, con respecto a este último, tanto México y Brasil en menor proporción, no pueden emitir deuda en su propia moneda, no tienen mercados financieros desarrollados y a la hora de aplicar políticas de esterilización en los mercados cambiarios, ambos bancos centrales no avisan de manera oportuna las políticas de esterilización, ni tampoco explican en tiempo y forma el crecimiento de la deuda interna, ello con el motivo de que los agentes económicos no se adelanten en sus decisiones y se vaya a cumplir el denominado “profecías </w:t>
      </w:r>
      <w:r w:rsidR="00C1133F" w:rsidRPr="00FD1DC0">
        <w:rPr>
          <w:rFonts w:ascii="Times New Roman" w:hAnsi="Times New Roman" w:cs="Times New Roman"/>
          <w:lang w:val="es-BO"/>
        </w:rPr>
        <w:t>auto cumplidas</w:t>
      </w:r>
      <w:r w:rsidRPr="00FD1DC0">
        <w:rPr>
          <w:rFonts w:ascii="Times New Roman" w:hAnsi="Times New Roman" w:cs="Times New Roman"/>
          <w:lang w:val="es-BO"/>
        </w:rPr>
        <w:t xml:space="preserve"> y/o razonamientos circulares”. Por otro lado, las autoridades monetarias de México y Brasil parecen tener mayores incentivos para manejar el tipo de cambio de forma asimétrica (de manera pasiva frente a apreciaciones monetarias y de forma activa para mitigar presiones devaluatorias), sumando a este </w:t>
      </w:r>
      <w:r w:rsidR="007360B0" w:rsidRPr="00FD1DC0">
        <w:rPr>
          <w:rFonts w:ascii="Times New Roman" w:hAnsi="Times New Roman" w:cs="Times New Roman"/>
          <w:lang w:val="es-BO"/>
        </w:rPr>
        <w:t>último</w:t>
      </w:r>
      <w:r w:rsidRPr="00FD1DC0">
        <w:rPr>
          <w:rFonts w:ascii="Times New Roman" w:hAnsi="Times New Roman" w:cs="Times New Roman"/>
          <w:lang w:val="es-BO"/>
        </w:rPr>
        <w:t xml:space="preserve"> que el tipo de cambio sigue siendo la principal ancla de </w:t>
      </w:r>
      <w:r w:rsidR="007360B0" w:rsidRPr="00FD1DC0">
        <w:rPr>
          <w:rFonts w:ascii="Times New Roman" w:hAnsi="Times New Roman" w:cs="Times New Roman"/>
          <w:lang w:val="es-BO"/>
        </w:rPr>
        <w:t>política</w:t>
      </w:r>
      <w:r w:rsidRPr="00FD1DC0">
        <w:rPr>
          <w:rFonts w:ascii="Times New Roman" w:hAnsi="Times New Roman" w:cs="Times New Roman"/>
          <w:lang w:val="es-BO"/>
        </w:rPr>
        <w:t xml:space="preserve"> monetaria para controlar la inflación y de ahí el denominado miedo a flotar en ambos </w:t>
      </w:r>
      <w:r w:rsidR="007360B0" w:rsidRPr="00FD1DC0">
        <w:rPr>
          <w:rFonts w:ascii="Times New Roman" w:hAnsi="Times New Roman" w:cs="Times New Roman"/>
          <w:lang w:val="es-BO"/>
        </w:rPr>
        <w:t>países</w:t>
      </w:r>
      <w:r w:rsidRPr="00FD1DC0">
        <w:rPr>
          <w:rFonts w:ascii="Times New Roman" w:hAnsi="Times New Roman" w:cs="Times New Roman"/>
          <w:lang w:val="es-BO"/>
        </w:rPr>
        <w:t>.</w:t>
      </w:r>
    </w:p>
    <w:p w14:paraId="5D4991C9" w14:textId="4D51249B" w:rsidR="00E73FD3" w:rsidRPr="00FD1DC0" w:rsidRDefault="007E0A04" w:rsidP="00E73FD3">
      <w:pPr>
        <w:spacing w:after="0" w:line="360" w:lineRule="auto"/>
        <w:ind w:left="45" w:right="535"/>
        <w:rPr>
          <w:rFonts w:ascii="Times New Roman" w:hAnsi="Times New Roman" w:cs="Times New Roman"/>
          <w:lang w:val="es-BO"/>
        </w:rPr>
      </w:pPr>
      <w:r w:rsidRPr="00FD1DC0">
        <w:rPr>
          <w:rFonts w:ascii="Times New Roman" w:hAnsi="Times New Roman" w:cs="Times New Roman"/>
          <w:lang w:val="es-BO"/>
        </w:rPr>
        <w:t>En esa línea</w:t>
      </w:r>
      <w:r w:rsidR="00E73FD3" w:rsidRPr="00FD1DC0">
        <w:rPr>
          <w:rFonts w:ascii="Times New Roman" w:hAnsi="Times New Roman" w:cs="Times New Roman"/>
          <w:lang w:val="es-BO"/>
        </w:rPr>
        <w:t xml:space="preserve"> surge </w:t>
      </w:r>
      <w:r w:rsidRPr="00FD1DC0">
        <w:rPr>
          <w:rFonts w:ascii="Times New Roman" w:hAnsi="Times New Roman" w:cs="Times New Roman"/>
          <w:lang w:val="es-BO"/>
        </w:rPr>
        <w:t>una posible cuestionante</w:t>
      </w:r>
      <w:r w:rsidR="00E73FD3" w:rsidRPr="00FD1DC0">
        <w:rPr>
          <w:rFonts w:ascii="Times New Roman" w:hAnsi="Times New Roman" w:cs="Times New Roman"/>
          <w:lang w:val="es-BO"/>
        </w:rPr>
        <w:t>: ¿Porque la resistencia a dejar flota</w:t>
      </w:r>
      <w:r w:rsidR="002C3D98" w:rsidRPr="00FD1DC0">
        <w:rPr>
          <w:rFonts w:ascii="Times New Roman" w:hAnsi="Times New Roman" w:cs="Times New Roman"/>
          <w:lang w:val="es-BO"/>
        </w:rPr>
        <w:t>r libremente el tipo de cambio?</w:t>
      </w:r>
      <w:r w:rsidR="00E73FD3" w:rsidRPr="00FD1DC0">
        <w:rPr>
          <w:rFonts w:ascii="Times New Roman" w:hAnsi="Times New Roman" w:cs="Times New Roman"/>
          <w:lang w:val="es-BO"/>
        </w:rPr>
        <w:t>, las posibles respuestas:</w:t>
      </w:r>
    </w:p>
    <w:p w14:paraId="6A6AA4A8" w14:textId="77777777" w:rsidR="00E73FD3" w:rsidRPr="00FD1DC0" w:rsidRDefault="00E73FD3" w:rsidP="008F1902">
      <w:pPr>
        <w:numPr>
          <w:ilvl w:val="0"/>
          <w:numId w:val="2"/>
        </w:numPr>
        <w:spacing w:after="0" w:line="360" w:lineRule="auto"/>
        <w:ind w:right="535" w:hanging="281"/>
        <w:rPr>
          <w:rFonts w:ascii="Times New Roman" w:hAnsi="Times New Roman" w:cs="Times New Roman"/>
          <w:lang w:val="es-BO"/>
        </w:rPr>
      </w:pPr>
      <w:r w:rsidRPr="00FD1DC0">
        <w:rPr>
          <w:rFonts w:ascii="Times New Roman" w:hAnsi="Times New Roman" w:cs="Times New Roman"/>
          <w:lang w:val="es-BO"/>
        </w:rPr>
        <w:t xml:space="preserve">“Liability dollarization: Dolarización de pasivos" es importante en países emergentes. </w:t>
      </w:r>
    </w:p>
    <w:p w14:paraId="183BBCAA" w14:textId="77777777" w:rsidR="00E73FD3" w:rsidRPr="00FD1DC0" w:rsidRDefault="00E73FD3" w:rsidP="008F1902">
      <w:pPr>
        <w:numPr>
          <w:ilvl w:val="0"/>
          <w:numId w:val="2"/>
        </w:numPr>
        <w:spacing w:after="0" w:line="360" w:lineRule="auto"/>
        <w:ind w:right="533" w:hanging="281"/>
        <w:rPr>
          <w:rFonts w:ascii="Times New Roman" w:hAnsi="Times New Roman" w:cs="Times New Roman"/>
          <w:lang w:val="es-BO"/>
        </w:rPr>
      </w:pPr>
      <w:r w:rsidRPr="00FD1DC0">
        <w:rPr>
          <w:rFonts w:ascii="Times New Roman" w:hAnsi="Times New Roman" w:cs="Times New Roman"/>
          <w:lang w:val="es-BO"/>
        </w:rPr>
        <w:t xml:space="preserve">Alto traspaso del tipo de cambio a la tasa de inflación y deudas predominantemente dolarizadas. </w:t>
      </w:r>
    </w:p>
    <w:p w14:paraId="46C1945C" w14:textId="77777777" w:rsidR="00E73FD3" w:rsidRPr="00FD1DC0" w:rsidRDefault="00E73FD3" w:rsidP="00E73FD3">
      <w:pPr>
        <w:spacing w:after="0" w:line="360" w:lineRule="auto"/>
        <w:ind w:left="45" w:right="533"/>
        <w:rPr>
          <w:rFonts w:ascii="Times New Roman" w:hAnsi="Times New Roman" w:cs="Times New Roman"/>
          <w:lang w:val="es-BO"/>
        </w:rPr>
      </w:pPr>
      <w:r w:rsidRPr="00FD1DC0">
        <w:rPr>
          <w:rFonts w:ascii="Times New Roman" w:hAnsi="Times New Roman" w:cs="Times New Roman"/>
          <w:lang w:val="es-BO"/>
        </w:rPr>
        <w:t xml:space="preserve">Ello implica la posibilidad de una oferta poco sensible de fondos externos en épocas de crisis explica el </w:t>
      </w:r>
      <w:r w:rsidRPr="00FD1DC0">
        <w:rPr>
          <w:rFonts w:ascii="Times New Roman" w:hAnsi="Times New Roman" w:cs="Times New Roman"/>
          <w:i/>
          <w:lang w:val="es-BO"/>
        </w:rPr>
        <w:t>overshooting</w:t>
      </w:r>
      <w:r w:rsidRPr="00FD1DC0">
        <w:rPr>
          <w:rFonts w:ascii="Times New Roman" w:hAnsi="Times New Roman" w:cs="Times New Roman"/>
          <w:lang w:val="es-BO"/>
        </w:rPr>
        <w:t xml:space="preserve"> del tipo de cambio y el consecuente miedo a flotar. </w:t>
      </w:r>
    </w:p>
    <w:p w14:paraId="0B6555A8" w14:textId="2B299800" w:rsidR="00E73FD3" w:rsidRPr="00FD1DC0" w:rsidRDefault="00E73FD3" w:rsidP="008F1902">
      <w:pPr>
        <w:numPr>
          <w:ilvl w:val="0"/>
          <w:numId w:val="2"/>
        </w:numPr>
        <w:spacing w:after="0" w:line="360" w:lineRule="auto"/>
        <w:ind w:right="535" w:hanging="281"/>
        <w:rPr>
          <w:rFonts w:ascii="Times New Roman" w:hAnsi="Times New Roman" w:cs="Times New Roman"/>
          <w:lang w:val="es-BO"/>
        </w:rPr>
      </w:pPr>
      <w:r w:rsidRPr="00FD1DC0">
        <w:rPr>
          <w:rFonts w:ascii="Times New Roman" w:hAnsi="Times New Roman" w:cs="Times New Roman"/>
          <w:lang w:val="es-BO"/>
        </w:rPr>
        <w:t xml:space="preserve">Falta de credibilidad y </w:t>
      </w:r>
      <w:r w:rsidR="00536847" w:rsidRPr="00FD1DC0">
        <w:rPr>
          <w:rFonts w:ascii="Times New Roman" w:hAnsi="Times New Roman" w:cs="Times New Roman"/>
          <w:lang w:val="es-BO"/>
        </w:rPr>
        <w:t xml:space="preserve">una posible pérdida de accesibilidad </w:t>
      </w:r>
      <w:r w:rsidRPr="00FD1DC0">
        <w:rPr>
          <w:rFonts w:ascii="Times New Roman" w:hAnsi="Times New Roman" w:cs="Times New Roman"/>
          <w:lang w:val="es-BO"/>
        </w:rPr>
        <w:t>a los mercados de capitales internacionales.</w:t>
      </w:r>
    </w:p>
    <w:p w14:paraId="4993C567" w14:textId="7959EDC6" w:rsidR="00E73FD3" w:rsidRPr="00FD1DC0" w:rsidRDefault="00E73FD3" w:rsidP="008F1902">
      <w:pPr>
        <w:numPr>
          <w:ilvl w:val="0"/>
          <w:numId w:val="2"/>
        </w:numPr>
        <w:spacing w:after="0" w:line="360" w:lineRule="auto"/>
        <w:ind w:right="535" w:hanging="281"/>
        <w:rPr>
          <w:rFonts w:ascii="Times New Roman" w:hAnsi="Times New Roman" w:cs="Times New Roman"/>
          <w:lang w:val="es-BO"/>
        </w:rPr>
      </w:pPr>
      <w:r w:rsidRPr="00FD1DC0">
        <w:rPr>
          <w:rFonts w:ascii="Times New Roman" w:hAnsi="Times New Roman" w:cs="Times New Roman"/>
          <w:lang w:val="es-BO"/>
        </w:rPr>
        <w:t>Calvo y Reinhart (2002) afirman:</w:t>
      </w:r>
      <w:r w:rsidR="00E95DBC" w:rsidRPr="00FD1DC0">
        <w:rPr>
          <w:rFonts w:ascii="Times New Roman" w:hAnsi="Times New Roman" w:cs="Times New Roman"/>
          <w:lang w:val="es-BO"/>
        </w:rPr>
        <w:t xml:space="preserve"> </w:t>
      </w:r>
      <w:r w:rsidRPr="00FD1DC0">
        <w:rPr>
          <w:rFonts w:ascii="Times New Roman" w:hAnsi="Times New Roman" w:cs="Times New Roman"/>
          <w:lang w:val="es-BO"/>
        </w:rPr>
        <w:t>cuando se trata de política de tipo de cambio, l</w:t>
      </w:r>
      <w:r w:rsidR="00E95DBC" w:rsidRPr="00FD1DC0">
        <w:rPr>
          <w:rFonts w:ascii="Times New Roman" w:hAnsi="Times New Roman" w:cs="Times New Roman"/>
          <w:lang w:val="es-BO"/>
        </w:rPr>
        <w:t>a discreción es lo que domina.</w:t>
      </w:r>
    </w:p>
    <w:p w14:paraId="55FFFB8C" w14:textId="772810E4" w:rsidR="00E7340E" w:rsidRPr="00FD1DC0" w:rsidRDefault="004316C8" w:rsidP="00E7340E">
      <w:pPr>
        <w:pStyle w:val="Ttulo3"/>
        <w:spacing w:after="0" w:line="360" w:lineRule="auto"/>
        <w:ind w:left="45" w:right="369"/>
        <w:rPr>
          <w:rFonts w:ascii="Times New Roman" w:hAnsi="Times New Roman" w:cs="Times New Roman"/>
          <w:lang w:val="es-BO"/>
        </w:rPr>
      </w:pPr>
      <w:r w:rsidRPr="00FD1DC0">
        <w:rPr>
          <w:rFonts w:ascii="Times New Roman" w:hAnsi="Times New Roman" w:cs="Times New Roman"/>
          <w:lang w:val="es-BO"/>
        </w:rPr>
        <w:t>Conclusi</w:t>
      </w:r>
      <w:r w:rsidR="0055309E" w:rsidRPr="00FD1DC0">
        <w:rPr>
          <w:rFonts w:ascii="Times New Roman" w:hAnsi="Times New Roman" w:cs="Times New Roman"/>
          <w:lang w:val="es-BO"/>
        </w:rPr>
        <w:t>ó</w:t>
      </w:r>
      <w:r w:rsidRPr="00FD1DC0">
        <w:rPr>
          <w:rFonts w:ascii="Times New Roman" w:hAnsi="Times New Roman" w:cs="Times New Roman"/>
          <w:lang w:val="es-BO"/>
        </w:rPr>
        <w:t xml:space="preserve">n </w:t>
      </w:r>
    </w:p>
    <w:p w14:paraId="43703DD8" w14:textId="00272D90" w:rsidR="00CB33B6" w:rsidRPr="00FD1DC0" w:rsidRDefault="00CB33B6" w:rsidP="00CB33B6">
      <w:pPr>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De este primer capítulo se concluye en primera instancia que el Modelo ROI es semejante al nuevo consenso macroeconómico de expectativas racionales NCM. Debido a que ambos consideran</w:t>
      </w:r>
      <w:r w:rsidR="008F4D16" w:rsidRPr="00FD1DC0">
        <w:rPr>
          <w:rFonts w:ascii="Times New Roman" w:hAnsi="Times New Roman" w:cs="Times New Roman"/>
          <w:lang w:val="es-BO"/>
        </w:rPr>
        <w:t xml:space="preserve"> a</w:t>
      </w:r>
      <w:r w:rsidRPr="00FD1DC0">
        <w:rPr>
          <w:rFonts w:ascii="Times New Roman" w:hAnsi="Times New Roman" w:cs="Times New Roman"/>
          <w:lang w:val="es-BO"/>
        </w:rPr>
        <w:t xml:space="preserve"> la estabilidad de precios como principal meta de la autoridad monetaria.</w:t>
      </w:r>
    </w:p>
    <w:p w14:paraId="44016E45" w14:textId="77777777" w:rsidR="00CB33B6" w:rsidRPr="00FD1DC0" w:rsidRDefault="00CB33B6" w:rsidP="00CB33B6">
      <w:pPr>
        <w:spacing w:after="0" w:line="360" w:lineRule="auto"/>
        <w:ind w:left="45" w:right="535"/>
        <w:rPr>
          <w:rFonts w:ascii="Times New Roman" w:hAnsi="Times New Roman" w:cs="Times New Roman"/>
          <w:lang w:val="es-BO"/>
        </w:rPr>
      </w:pPr>
      <w:r w:rsidRPr="00FD1DC0">
        <w:rPr>
          <w:rFonts w:ascii="Times New Roman" w:hAnsi="Times New Roman" w:cs="Times New Roman"/>
          <w:lang w:val="es-BO"/>
        </w:rPr>
        <w:t xml:space="preserve">En esa línea, el modelo de objetivos de inflación presupone básicamente: </w:t>
      </w:r>
    </w:p>
    <w:p w14:paraId="05F02F00" w14:textId="77777777" w:rsidR="00CB33B6" w:rsidRPr="00FD1DC0" w:rsidRDefault="00CB33B6" w:rsidP="008F1902">
      <w:pPr>
        <w:numPr>
          <w:ilvl w:val="0"/>
          <w:numId w:val="10"/>
        </w:numPr>
        <w:spacing w:after="0" w:line="360" w:lineRule="auto"/>
        <w:ind w:right="535"/>
        <w:rPr>
          <w:rFonts w:ascii="Times New Roman" w:hAnsi="Times New Roman" w:cs="Times New Roman"/>
          <w:lang w:val="es-BO"/>
        </w:rPr>
      </w:pPr>
      <w:r w:rsidRPr="00FD1DC0">
        <w:rPr>
          <w:rFonts w:ascii="Times New Roman" w:hAnsi="Times New Roman" w:cs="Times New Roman"/>
          <w:lang w:val="es-BO"/>
        </w:rPr>
        <w:t xml:space="preserve">Inflación se produce por excesos de demanda, en otras palabras, la brecha del producto tendría que ser positiva y significativa. </w:t>
      </w:r>
    </w:p>
    <w:p w14:paraId="6A47D5FC" w14:textId="145380DF" w:rsidR="00CB33B6" w:rsidRPr="00FD1DC0" w:rsidRDefault="00CB33B6" w:rsidP="008F1902">
      <w:pPr>
        <w:numPr>
          <w:ilvl w:val="0"/>
          <w:numId w:val="10"/>
        </w:numPr>
        <w:spacing w:after="0" w:line="360" w:lineRule="auto"/>
        <w:ind w:right="535"/>
        <w:rPr>
          <w:rFonts w:ascii="Times New Roman" w:hAnsi="Times New Roman" w:cs="Times New Roman"/>
          <w:lang w:val="es-BO"/>
        </w:rPr>
      </w:pPr>
      <w:r w:rsidRPr="00FD1DC0">
        <w:rPr>
          <w:rFonts w:ascii="Times New Roman" w:hAnsi="Times New Roman" w:cs="Times New Roman"/>
          <w:lang w:val="es-BO"/>
        </w:rPr>
        <w:t>Régime</w:t>
      </w:r>
      <w:r w:rsidR="00AC4B54" w:rsidRPr="00FD1DC0">
        <w:rPr>
          <w:rFonts w:ascii="Times New Roman" w:hAnsi="Times New Roman" w:cs="Times New Roman"/>
          <w:lang w:val="es-BO"/>
        </w:rPr>
        <w:t xml:space="preserve">n de flotación libre y </w:t>
      </w:r>
      <w:r w:rsidRPr="00FD1DC0">
        <w:rPr>
          <w:rFonts w:ascii="Times New Roman" w:hAnsi="Times New Roman" w:cs="Times New Roman"/>
          <w:lang w:val="es-BO"/>
        </w:rPr>
        <w:t xml:space="preserve">que su cumpla la paridad descubierta de tasas de interés. </w:t>
      </w:r>
    </w:p>
    <w:p w14:paraId="60E90D38" w14:textId="7008D6E6" w:rsidR="00CB33B6" w:rsidRPr="00FD1DC0" w:rsidRDefault="00CB33B6" w:rsidP="008F1902">
      <w:pPr>
        <w:numPr>
          <w:ilvl w:val="0"/>
          <w:numId w:val="10"/>
        </w:numPr>
        <w:spacing w:after="0" w:line="360" w:lineRule="auto"/>
        <w:ind w:right="535"/>
        <w:rPr>
          <w:rFonts w:ascii="Times New Roman" w:hAnsi="Times New Roman" w:cs="Times New Roman"/>
          <w:lang w:val="es-BO"/>
        </w:rPr>
      </w:pPr>
      <w:r w:rsidRPr="00FD1DC0">
        <w:rPr>
          <w:rFonts w:ascii="Times New Roman" w:hAnsi="Times New Roman" w:cs="Times New Roman"/>
          <w:lang w:val="es-BO"/>
        </w:rPr>
        <w:t>Las reservas internacionales tendrían que ser constantes o poco rel</w:t>
      </w:r>
      <w:r w:rsidR="00AC4B54" w:rsidRPr="00FD1DC0">
        <w:rPr>
          <w:rFonts w:ascii="Times New Roman" w:hAnsi="Times New Roman" w:cs="Times New Roman"/>
          <w:lang w:val="es-BO"/>
        </w:rPr>
        <w:t>evantes.</w:t>
      </w:r>
    </w:p>
    <w:p w14:paraId="67AD1407" w14:textId="3B0AA55E" w:rsidR="00CB33B6" w:rsidRPr="00FD1DC0" w:rsidRDefault="00CB33B6" w:rsidP="00CB33B6">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Ahora el hecho de que la inflación sea esencialmente monetario provocado por un exceso de demanda, es discutible en economías en vías de desarrollo y a menudo no se cumple. Más aun tomando en cuenta que en países emergentes, los factores estructurales son los principales detonantes de las causas de inflación y a ello se suma que muchos elementos teóricos que supone el esquema de objetivos de inflación aplicado a economías latinoamericanas tampoco se cumple, por ejemplo: la presencia del denominado miedo a flotar, la presencia de inflación de tipo de estructural, el no cumplimiento de la teoría de la paridad descubierta de tasas de interés, la tendencia a la sobreacumulación de reservas internacionales y finalmente la relación entre la aplicación del esquema de objetivos de inflación en economías en vías de desarrollo y los flujos de capital. En esta última parte se menciona que la utilización de la política monetaria de objetivos de inflación en economías emergentes se fundamenta en que la estabilidad del tipo de cambio y la presencia de un elevado diferencial de tasas de interés, termina atrayendo nuevos flujos de capital que finalmente provoca una apreciación del tipo de cambio real. Esto a su vez provocaría que el Banco Central aplique una inyección de sobreoferta de reservas internacionales disponible, para poder intervenir en el mercado cambiario y mantener el tipo de cambio nominal en la dirección deseada de la autoridad monetaria</w:t>
      </w:r>
      <w:r w:rsidR="00AC4B54" w:rsidRPr="00FD1DC0">
        <w:rPr>
          <w:rFonts w:ascii="Times New Roman" w:hAnsi="Times New Roman" w:cs="Times New Roman"/>
          <w:lang w:val="es-BO"/>
        </w:rPr>
        <w:t>.</w:t>
      </w:r>
    </w:p>
    <w:p w14:paraId="6DDDC598" w14:textId="5F46ABB1" w:rsidR="00846332" w:rsidRPr="009E2F92" w:rsidRDefault="00CB33B6" w:rsidP="009E2F92">
      <w:pPr>
        <w:spacing w:after="0" w:line="360" w:lineRule="auto"/>
        <w:rPr>
          <w:rFonts w:ascii="Times New Roman" w:hAnsi="Times New Roman" w:cs="Times New Roman"/>
          <w:lang w:val="es-BO"/>
        </w:rPr>
      </w:pPr>
      <w:r w:rsidRPr="00FD1DC0">
        <w:rPr>
          <w:rFonts w:ascii="Times New Roman" w:hAnsi="Times New Roman" w:cs="Times New Roman"/>
          <w:lang w:val="es-BO"/>
        </w:rPr>
        <w:t xml:space="preserve">En conclusión, la aplicación del esquema </w:t>
      </w:r>
      <w:r w:rsidR="00AC4B54" w:rsidRPr="00FD1DC0">
        <w:rPr>
          <w:rFonts w:ascii="Times New Roman" w:hAnsi="Times New Roman" w:cs="Times New Roman"/>
          <w:lang w:val="es-BO"/>
        </w:rPr>
        <w:t>ROI</w:t>
      </w:r>
      <w:r w:rsidRPr="00FD1DC0">
        <w:rPr>
          <w:rFonts w:ascii="Times New Roman" w:hAnsi="Times New Roman" w:cs="Times New Roman"/>
          <w:lang w:val="es-BO"/>
        </w:rPr>
        <w:t xml:space="preserve"> en los países en desarrollo incumple los supuestos fund</w:t>
      </w:r>
      <w:r w:rsidR="00AC4B54" w:rsidRPr="00FD1DC0">
        <w:rPr>
          <w:rFonts w:ascii="Times New Roman" w:hAnsi="Times New Roman" w:cs="Times New Roman"/>
          <w:lang w:val="es-BO"/>
        </w:rPr>
        <w:t>amentales del modelo teórico</w:t>
      </w:r>
      <w:r w:rsidRPr="00FD1DC0">
        <w:rPr>
          <w:rFonts w:ascii="Times New Roman" w:hAnsi="Times New Roman" w:cs="Times New Roman"/>
          <w:lang w:val="es-BO"/>
        </w:rPr>
        <w:t>, la misma debido a problemas estructurales que caracterizan a la misma. A su vez las desventajas de la aplicación del ROI en ec</w:t>
      </w:r>
      <w:r w:rsidR="00AC4B54" w:rsidRPr="00FD1DC0">
        <w:rPr>
          <w:rFonts w:ascii="Times New Roman" w:hAnsi="Times New Roman" w:cs="Times New Roman"/>
          <w:lang w:val="es-BO"/>
        </w:rPr>
        <w:t xml:space="preserve">onomías en vías de desarrollo, por un </w:t>
      </w:r>
      <w:r w:rsidR="00DE341B" w:rsidRPr="00FD1DC0">
        <w:rPr>
          <w:rFonts w:ascii="Times New Roman" w:hAnsi="Times New Roman" w:cs="Times New Roman"/>
          <w:lang w:val="es-BO"/>
        </w:rPr>
        <w:t>lado,</w:t>
      </w:r>
      <w:r w:rsidR="00AC4B54" w:rsidRPr="00FD1DC0">
        <w:rPr>
          <w:rFonts w:ascii="Times New Roman" w:hAnsi="Times New Roman" w:cs="Times New Roman"/>
          <w:lang w:val="es-BO"/>
        </w:rPr>
        <w:t xml:space="preserve"> </w:t>
      </w:r>
      <w:r w:rsidRPr="00FD1DC0">
        <w:rPr>
          <w:rFonts w:ascii="Times New Roman" w:hAnsi="Times New Roman" w:cs="Times New Roman"/>
          <w:lang w:val="es-BO"/>
        </w:rPr>
        <w:t xml:space="preserve">es que la meta de inflación es exacerbadamente rígido, además de que el ROI genera discrecionalidad y no garantiza el cumplimiento fiscal, de tal manera puede generar finanzas publicas irresponsables al no garantizar el financiamiento al estado. Por otro lado, el uso de la tasa de interés como instrumento de política tiene un impacto </w:t>
      </w:r>
      <w:r w:rsidR="00361B5F" w:rsidRPr="00FD1DC0">
        <w:rPr>
          <w:rFonts w:ascii="Times New Roman" w:hAnsi="Times New Roman" w:cs="Times New Roman"/>
          <w:lang w:val="es-BO"/>
        </w:rPr>
        <w:t xml:space="preserve">débil sobre la inversión y el </w:t>
      </w:r>
      <w:r w:rsidRPr="00FD1DC0">
        <w:rPr>
          <w:rFonts w:ascii="Times New Roman" w:hAnsi="Times New Roman" w:cs="Times New Roman"/>
          <w:lang w:val="es-BO"/>
        </w:rPr>
        <w:t xml:space="preserve">consumo, </w:t>
      </w:r>
      <w:r w:rsidR="00361B5F" w:rsidRPr="00FD1DC0">
        <w:rPr>
          <w:rFonts w:ascii="Times New Roman" w:hAnsi="Times New Roman" w:cs="Times New Roman"/>
          <w:lang w:val="es-BO"/>
        </w:rPr>
        <w:t>explicado en parte a que</w:t>
      </w:r>
      <w:r w:rsidRPr="00FD1DC0">
        <w:rPr>
          <w:rFonts w:ascii="Times New Roman" w:hAnsi="Times New Roman" w:cs="Times New Roman"/>
          <w:lang w:val="es-BO"/>
        </w:rPr>
        <w:t xml:space="preserve"> las economí</w:t>
      </w:r>
      <w:r w:rsidR="00361B5F" w:rsidRPr="00FD1DC0">
        <w:rPr>
          <w:rFonts w:ascii="Times New Roman" w:hAnsi="Times New Roman" w:cs="Times New Roman"/>
          <w:lang w:val="es-BO"/>
        </w:rPr>
        <w:t xml:space="preserve">as emergentes se caracterizan por ser </w:t>
      </w:r>
      <w:r w:rsidRPr="00FD1DC0">
        <w:rPr>
          <w:rFonts w:ascii="Times New Roman" w:hAnsi="Times New Roman" w:cs="Times New Roman"/>
          <w:lang w:val="es-BO"/>
        </w:rPr>
        <w:t xml:space="preserve">importadores de insumos productivos y de capitales, </w:t>
      </w:r>
      <w:r w:rsidR="00361B5F" w:rsidRPr="00FD1DC0">
        <w:rPr>
          <w:rFonts w:ascii="Times New Roman" w:hAnsi="Times New Roman" w:cs="Times New Roman"/>
          <w:lang w:val="es-BO"/>
        </w:rPr>
        <w:t xml:space="preserve">haciéndoles </w:t>
      </w:r>
      <w:r w:rsidR="00B20956" w:rsidRPr="00FD1DC0">
        <w:rPr>
          <w:rFonts w:ascii="Times New Roman" w:hAnsi="Times New Roman" w:cs="Times New Roman"/>
          <w:lang w:val="es-BO"/>
        </w:rPr>
        <w:t>más</w:t>
      </w:r>
      <w:r w:rsidR="00361B5F" w:rsidRPr="00FD1DC0">
        <w:rPr>
          <w:rFonts w:ascii="Times New Roman" w:hAnsi="Times New Roman" w:cs="Times New Roman"/>
          <w:lang w:val="es-BO"/>
        </w:rPr>
        <w:t xml:space="preserve"> sensibles</w:t>
      </w:r>
      <w:r w:rsidRPr="00FD1DC0">
        <w:rPr>
          <w:rFonts w:ascii="Times New Roman" w:hAnsi="Times New Roman" w:cs="Times New Roman"/>
          <w:lang w:val="es-BO"/>
        </w:rPr>
        <w:t xml:space="preserve"> a </w:t>
      </w:r>
      <w:r w:rsidR="009E2F92">
        <w:rPr>
          <w:rFonts w:ascii="Times New Roman" w:hAnsi="Times New Roman" w:cs="Times New Roman"/>
          <w:lang w:val="es-BO"/>
        </w:rPr>
        <w:t>movimientos del tipo de cambio.</w:t>
      </w:r>
    </w:p>
    <w:p w14:paraId="0EACE5A3" w14:textId="11FDF772" w:rsidR="00A526C2" w:rsidRPr="00FD1DC0" w:rsidRDefault="006A18A7" w:rsidP="00272F0D">
      <w:pPr>
        <w:ind w:left="0" w:firstLine="0"/>
        <w:rPr>
          <w:rFonts w:ascii="Times New Roman" w:hAnsi="Times New Roman" w:cs="Times New Roman"/>
          <w:b/>
          <w:bCs/>
          <w:lang w:val="es-MX"/>
        </w:rPr>
      </w:pPr>
      <w:r>
        <w:rPr>
          <w:rFonts w:ascii="Times New Roman" w:hAnsi="Times New Roman" w:cs="Times New Roman"/>
          <w:b/>
          <w:bCs/>
          <w:lang w:val="es-MX"/>
        </w:rPr>
        <w:t>Acápite</w:t>
      </w:r>
      <w:r w:rsidR="00A526C2" w:rsidRPr="00FD1DC0">
        <w:rPr>
          <w:rFonts w:ascii="Times New Roman" w:hAnsi="Times New Roman" w:cs="Times New Roman"/>
          <w:b/>
          <w:bCs/>
          <w:lang w:val="es-MX"/>
        </w:rPr>
        <w:t xml:space="preserve"> II</w:t>
      </w:r>
      <w:r w:rsidR="009D366F" w:rsidRPr="00FD1DC0">
        <w:rPr>
          <w:rFonts w:ascii="Times New Roman" w:hAnsi="Times New Roman" w:cs="Times New Roman"/>
          <w:b/>
          <w:bCs/>
          <w:lang w:val="es-MX"/>
        </w:rPr>
        <w:t xml:space="preserve">. </w:t>
      </w:r>
      <w:r w:rsidR="00467E28" w:rsidRPr="00FD1DC0">
        <w:rPr>
          <w:rFonts w:ascii="Times New Roman" w:hAnsi="Times New Roman" w:cs="Times New Roman"/>
          <w:b/>
          <w:bCs/>
          <w:lang w:val="es-MX"/>
        </w:rPr>
        <w:t>A</w:t>
      </w:r>
      <w:r w:rsidR="009D366F" w:rsidRPr="00FD1DC0">
        <w:rPr>
          <w:rFonts w:ascii="Times New Roman" w:hAnsi="Times New Roman" w:cs="Times New Roman"/>
          <w:b/>
          <w:bCs/>
          <w:lang w:val="es-MX"/>
        </w:rPr>
        <w:t>dopción del modelo de objetivos de inflación en México y Brasil</w:t>
      </w:r>
    </w:p>
    <w:p w14:paraId="0DB1F790" w14:textId="395C14EB" w:rsidR="008A791D" w:rsidRPr="00FD1DC0" w:rsidRDefault="00155BC2" w:rsidP="008A791D">
      <w:pPr>
        <w:spacing w:after="225" w:line="259" w:lineRule="auto"/>
        <w:ind w:left="0" w:right="0" w:firstLine="0"/>
        <w:rPr>
          <w:b/>
          <w:lang w:val="es-BO"/>
        </w:rPr>
      </w:pPr>
      <w:r>
        <w:rPr>
          <w:b/>
          <w:lang w:val="es-BO"/>
        </w:rPr>
        <w:t>2.1</w:t>
      </w:r>
      <w:r w:rsidR="008A791D" w:rsidRPr="00FD1DC0">
        <w:rPr>
          <w:b/>
          <w:lang w:val="es-BO"/>
        </w:rPr>
        <w:t xml:space="preserve"> </w:t>
      </w:r>
      <w:r w:rsidR="005F16A6" w:rsidRPr="00FD1DC0">
        <w:rPr>
          <w:b/>
          <w:lang w:val="es-BO"/>
        </w:rPr>
        <w:t>Hechos Estilizados</w:t>
      </w:r>
    </w:p>
    <w:p w14:paraId="061A0258" w14:textId="3A266CB3" w:rsidR="00BA6D6B" w:rsidRPr="00FD1DC0" w:rsidRDefault="00BA6D6B" w:rsidP="00BA6D6B">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De acuerdo con los supuestos que se encuentran enmarcados dentro del modelo macroeconó</w:t>
      </w:r>
      <w:r w:rsidR="00447F8F" w:rsidRPr="00FD1DC0">
        <w:rPr>
          <w:rFonts w:ascii="Times New Roman" w:hAnsi="Times New Roman" w:cs="Times New Roman"/>
          <w:szCs w:val="24"/>
          <w:lang w:val="es-BO"/>
        </w:rPr>
        <w:t xml:space="preserve">mico de objetivos de inflación </w:t>
      </w:r>
      <w:r w:rsidRPr="00FD1DC0">
        <w:rPr>
          <w:rFonts w:ascii="Times New Roman" w:hAnsi="Times New Roman" w:cs="Times New Roman"/>
          <w:szCs w:val="24"/>
          <w:lang w:val="es-BO"/>
        </w:rPr>
        <w:t>ROI, las autoridades monetarias deben adoptar un régimen cambiario de flotación libre, porque la misma permitiría mitigar los efectos de los choques exte</w:t>
      </w:r>
      <w:r w:rsidR="00447F8F" w:rsidRPr="00FD1DC0">
        <w:rPr>
          <w:rFonts w:ascii="Times New Roman" w:hAnsi="Times New Roman" w:cs="Times New Roman"/>
          <w:szCs w:val="24"/>
          <w:lang w:val="es-BO"/>
        </w:rPr>
        <w:t>rnos. Por otro lado, el modelo ROI</w:t>
      </w:r>
      <w:r w:rsidRPr="00FD1DC0">
        <w:rPr>
          <w:rFonts w:ascii="Times New Roman" w:hAnsi="Times New Roman" w:cs="Times New Roman"/>
          <w:szCs w:val="24"/>
          <w:lang w:val="es-BO"/>
        </w:rPr>
        <w:t xml:space="preserve"> afirma que los flujos internacionales de capital son muy sensibles al diferencial de rendimiento entre los activos financieros locales y extranjeros, la misma conllevaría al cumplimiento de la hipótesis de paridad d</w:t>
      </w:r>
      <w:r w:rsidR="00447F8F" w:rsidRPr="00FD1DC0">
        <w:rPr>
          <w:rFonts w:ascii="Times New Roman" w:hAnsi="Times New Roman" w:cs="Times New Roman"/>
          <w:szCs w:val="24"/>
          <w:lang w:val="es-BO"/>
        </w:rPr>
        <w:t>escubierta de tasas de interés PDTI</w:t>
      </w:r>
      <w:r w:rsidRPr="00FD1DC0">
        <w:rPr>
          <w:rFonts w:ascii="Times New Roman" w:hAnsi="Times New Roman" w:cs="Times New Roman"/>
          <w:szCs w:val="24"/>
          <w:lang w:val="es-BO"/>
        </w:rPr>
        <w:t>.</w:t>
      </w:r>
    </w:p>
    <w:p w14:paraId="0D77068A" w14:textId="2FB29968" w:rsidR="008D4502" w:rsidRPr="00FD1DC0" w:rsidRDefault="006B05E1" w:rsidP="008D4502">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Por lo tanto, par</w:t>
      </w:r>
      <w:r w:rsidR="00447F8F" w:rsidRPr="00FD1DC0">
        <w:rPr>
          <w:rFonts w:ascii="Times New Roman" w:hAnsi="Times New Roman" w:cs="Times New Roman"/>
          <w:szCs w:val="24"/>
          <w:lang w:val="es-BO"/>
        </w:rPr>
        <w:t xml:space="preserve">a el Nuevo Consenso Monetario </w:t>
      </w:r>
      <w:r w:rsidRPr="00FD1DC0">
        <w:rPr>
          <w:rFonts w:ascii="Times New Roman" w:hAnsi="Times New Roman" w:cs="Times New Roman"/>
          <w:szCs w:val="24"/>
          <w:lang w:val="es-BO"/>
        </w:rPr>
        <w:t xml:space="preserve">la tasa de interés vendría a ser el único instrumento de política monetaria de objetivos de </w:t>
      </w:r>
      <w:r w:rsidR="00276C44" w:rsidRPr="00FD1DC0">
        <w:rPr>
          <w:rFonts w:ascii="Times New Roman" w:hAnsi="Times New Roman" w:cs="Times New Roman"/>
          <w:szCs w:val="24"/>
          <w:lang w:val="es-BO"/>
        </w:rPr>
        <w:t xml:space="preserve">inflación; no obstante, </w:t>
      </w:r>
      <w:r w:rsidRPr="00FD1DC0">
        <w:rPr>
          <w:rFonts w:ascii="Times New Roman" w:hAnsi="Times New Roman" w:cs="Times New Roman"/>
          <w:szCs w:val="24"/>
          <w:lang w:val="es-BO"/>
        </w:rPr>
        <w:t>se reconoce que el tipo de cambio debe ser tomado en cuenta porque, en economías en vías de desarrollo, el mismo representa un importante mecanismo de trasmisión de la política monetaria.</w:t>
      </w:r>
    </w:p>
    <w:p w14:paraId="31056CC5" w14:textId="07D7108D" w:rsidR="008D4502" w:rsidRPr="00FD1DC0" w:rsidRDefault="008D4502" w:rsidP="008D4502">
      <w:pPr>
        <w:spacing w:after="0" w:line="360" w:lineRule="auto"/>
        <w:ind w:left="62" w:right="539" w:hanging="11"/>
        <w:rPr>
          <w:rFonts w:ascii="Times New Roman" w:hAnsi="Times New Roman" w:cs="Times New Roman"/>
          <w:szCs w:val="24"/>
          <w:lang w:val="es-BO"/>
        </w:rPr>
      </w:pPr>
      <w:r w:rsidRPr="00FD1DC0">
        <w:rPr>
          <w:rFonts w:ascii="Times New Roman" w:hAnsi="Times New Roman" w:cs="Times New Roman"/>
          <w:szCs w:val="24"/>
          <w:lang w:val="es-BO"/>
        </w:rPr>
        <w:t xml:space="preserve">En el contexto de las crisis de la década de 1990 en América Latina, las autoridades monetarias fueron muy criticados por permitir que el tipo de cambio permanezca anclado y la misma utilizar como estrategia para lograr la estabilidad monetaria, debido a que dicha estrategia es la génesis de inestabilidad sistémica. La misma dio lugar a que las autoridades monetarias de los países en vías de desarrollo, negaran que mantienen anclados sus tipos de cambio. Sin embargo, en la practica la autoridad monetaria sigue interviniendo activamente en el mercado de divisas para mantener el tipo de cambio nominal en la dirección deseada de la autoridad monetaria. </w:t>
      </w:r>
    </w:p>
    <w:p w14:paraId="1F7D4028" w14:textId="05A68246" w:rsidR="00AB1B7B" w:rsidRPr="00FD1DC0" w:rsidRDefault="00AB1B7B" w:rsidP="00AB1B7B">
      <w:pPr>
        <w:spacing w:after="0" w:line="360" w:lineRule="auto"/>
        <w:ind w:left="62" w:right="533" w:hanging="11"/>
        <w:rPr>
          <w:rFonts w:ascii="Times New Roman" w:hAnsi="Times New Roman" w:cs="Times New Roman"/>
          <w:lang w:val="es-BO"/>
        </w:rPr>
      </w:pPr>
      <w:r w:rsidRPr="00FD1DC0">
        <w:rPr>
          <w:rFonts w:ascii="Times New Roman" w:hAnsi="Times New Roman" w:cs="Times New Roman"/>
          <w:lang w:val="es-BO"/>
        </w:rPr>
        <w:t>En las gr</w:t>
      </w:r>
      <w:r w:rsidR="00163175" w:rsidRPr="00FD1DC0">
        <w:rPr>
          <w:rFonts w:ascii="Times New Roman" w:hAnsi="Times New Roman" w:cs="Times New Roman"/>
          <w:lang w:val="es-BO"/>
        </w:rPr>
        <w:t>áficas 2.8</w:t>
      </w:r>
      <w:r w:rsidR="00736068" w:rsidRPr="00FD1DC0">
        <w:rPr>
          <w:rFonts w:ascii="Times New Roman" w:hAnsi="Times New Roman" w:cs="Times New Roman"/>
          <w:lang w:val="es-BO"/>
        </w:rPr>
        <w:t xml:space="preserve">, </w:t>
      </w:r>
      <w:r w:rsidR="00163175" w:rsidRPr="00FD1DC0">
        <w:rPr>
          <w:rFonts w:ascii="Times New Roman" w:hAnsi="Times New Roman" w:cs="Times New Roman"/>
          <w:lang w:val="es-BO"/>
        </w:rPr>
        <w:t>2.9, 2.10</w:t>
      </w:r>
      <w:r w:rsidR="00F240D0" w:rsidRPr="00FD1DC0">
        <w:rPr>
          <w:rFonts w:ascii="Times New Roman" w:hAnsi="Times New Roman" w:cs="Times New Roman"/>
          <w:lang w:val="es-BO"/>
        </w:rPr>
        <w:t>,</w:t>
      </w:r>
      <w:r w:rsidR="00163175" w:rsidRPr="00FD1DC0">
        <w:rPr>
          <w:rFonts w:ascii="Times New Roman" w:hAnsi="Times New Roman" w:cs="Times New Roman"/>
          <w:lang w:val="es-BO"/>
        </w:rPr>
        <w:t xml:space="preserve"> 2.11 y 2.12</w:t>
      </w:r>
      <w:r w:rsidRPr="00FD1DC0">
        <w:rPr>
          <w:rFonts w:ascii="Times New Roman" w:hAnsi="Times New Roman" w:cs="Times New Roman"/>
          <w:lang w:val="es-BO"/>
        </w:rPr>
        <w:t xml:space="preserve"> respectivamente, podemos observar para ambos países la relación que existe entre el tipo de</w:t>
      </w:r>
      <w:r w:rsidR="00F240D0" w:rsidRPr="00FD1DC0">
        <w:rPr>
          <w:rFonts w:ascii="Times New Roman" w:hAnsi="Times New Roman" w:cs="Times New Roman"/>
          <w:lang w:val="es-BO"/>
        </w:rPr>
        <w:t xml:space="preserve"> cambio nominal </w:t>
      </w:r>
      <w:r w:rsidRPr="00FD1DC0">
        <w:rPr>
          <w:rFonts w:ascii="Times New Roman" w:hAnsi="Times New Roman" w:cs="Times New Roman"/>
          <w:lang w:val="es-BO"/>
        </w:rPr>
        <w:t>respecto al dólar americano (Tcn México y Tcn Brasil), el índice de tipo de cambio real de México (ITRE México) y Brasil (ITRE Brasil)</w:t>
      </w:r>
      <w:r w:rsidR="00736068" w:rsidRPr="00FD1DC0">
        <w:rPr>
          <w:rFonts w:ascii="Times New Roman" w:hAnsi="Times New Roman" w:cs="Times New Roman"/>
          <w:lang w:val="es-BO"/>
        </w:rPr>
        <w:t xml:space="preserve">, </w:t>
      </w:r>
      <w:r w:rsidRPr="00FD1DC0">
        <w:rPr>
          <w:rFonts w:ascii="Times New Roman" w:hAnsi="Times New Roman" w:cs="Times New Roman"/>
          <w:lang w:val="es-BO"/>
        </w:rPr>
        <w:t>la tasa de inflación de ambos países (Inf Mexico e Inf Brasil)</w:t>
      </w:r>
      <w:r w:rsidR="00736068" w:rsidRPr="00FD1DC0">
        <w:rPr>
          <w:rFonts w:ascii="Times New Roman" w:hAnsi="Times New Roman" w:cs="Times New Roman"/>
          <w:lang w:val="es-BO"/>
        </w:rPr>
        <w:t>, el comportamiento de las Reservas Internacion</w:t>
      </w:r>
      <w:r w:rsidR="008B682F" w:rsidRPr="00FD1DC0">
        <w:rPr>
          <w:rFonts w:ascii="Times New Roman" w:hAnsi="Times New Roman" w:cs="Times New Roman"/>
          <w:lang w:val="es-BO"/>
        </w:rPr>
        <w:t>ales (Rin México y Rin Brasil),</w:t>
      </w:r>
      <w:r w:rsidR="00736068" w:rsidRPr="00FD1DC0">
        <w:rPr>
          <w:rFonts w:ascii="Times New Roman" w:hAnsi="Times New Roman" w:cs="Times New Roman"/>
          <w:lang w:val="es-BO"/>
        </w:rPr>
        <w:t xml:space="preserve"> el crédito interno neto (Cin México y Cin Brasil)</w:t>
      </w:r>
      <w:r w:rsidRPr="00FD1DC0">
        <w:rPr>
          <w:rFonts w:ascii="Times New Roman" w:hAnsi="Times New Roman" w:cs="Times New Roman"/>
          <w:lang w:val="es-BO"/>
        </w:rPr>
        <w:t xml:space="preserve"> </w:t>
      </w:r>
      <w:r w:rsidR="008B682F" w:rsidRPr="00FD1DC0">
        <w:rPr>
          <w:rFonts w:ascii="Times New Roman" w:hAnsi="Times New Roman" w:cs="Times New Roman"/>
          <w:lang w:val="es-BO"/>
        </w:rPr>
        <w:t xml:space="preserve">y la base monetaria (BM México y BM Brasil) </w:t>
      </w:r>
      <w:r w:rsidRPr="00FD1DC0">
        <w:rPr>
          <w:rFonts w:ascii="Times New Roman" w:hAnsi="Times New Roman" w:cs="Times New Roman"/>
          <w:lang w:val="es-BO"/>
        </w:rPr>
        <w:t>en el periodo considerado</w:t>
      </w:r>
      <w:r w:rsidR="00F240D0" w:rsidRPr="00FD1DC0">
        <w:rPr>
          <w:rFonts w:ascii="Times New Roman" w:hAnsi="Times New Roman" w:cs="Times New Roman"/>
          <w:lang w:val="es-BO"/>
        </w:rPr>
        <w:t>.</w:t>
      </w:r>
    </w:p>
    <w:p w14:paraId="46FA1726" w14:textId="681C9BC2" w:rsidR="0050713B" w:rsidRPr="00FD1DC0" w:rsidRDefault="001F2E03" w:rsidP="001B5121">
      <w:pPr>
        <w:spacing w:after="0" w:line="360" w:lineRule="auto"/>
        <w:ind w:left="62" w:right="533" w:hanging="11"/>
        <w:rPr>
          <w:rFonts w:ascii="Times New Roman" w:hAnsi="Times New Roman" w:cs="Times New Roman"/>
          <w:lang w:val="es-BO"/>
        </w:rPr>
      </w:pPr>
      <w:r w:rsidRPr="00FD1DC0">
        <w:rPr>
          <w:rFonts w:ascii="Times New Roman" w:hAnsi="Times New Roman" w:cs="Times New Roman"/>
          <w:lang w:val="es-BO"/>
        </w:rPr>
        <w:t>Por ejemplo, en todo el periodo considerado el tipo de cambio real de ambos países tiende a apreciarse, existe una tendencia decreciente de la tasa de inflación y un continuo e inusitado crecimiento de las reservas internacionales.</w:t>
      </w:r>
    </w:p>
    <w:p w14:paraId="73A6F4A0" w14:textId="24DE71AE" w:rsidR="0050713B" w:rsidRPr="00FD1DC0" w:rsidRDefault="0050713B" w:rsidP="00163175">
      <w:pPr>
        <w:spacing w:after="0" w:line="360" w:lineRule="auto"/>
        <w:ind w:right="533"/>
        <w:rPr>
          <w:rFonts w:ascii="Times New Roman" w:hAnsi="Times New Roman" w:cs="Times New Roman"/>
          <w:lang w:val="es-BO"/>
        </w:rPr>
      </w:pPr>
      <w:r w:rsidRPr="00FD1DC0">
        <w:rPr>
          <w:rFonts w:ascii="Times New Roman" w:hAnsi="Times New Roman" w:cs="Times New Roman"/>
          <w:lang w:val="es-BO"/>
        </w:rPr>
        <w:t xml:space="preserve">De manera más detallada, se puede observar que en Brasil desde principios del nuevo siglo y México después de la crisis de 1994. La estabilidad de precios viene acompañada de una mayor apreciación de sus monedas. </w:t>
      </w:r>
    </w:p>
    <w:p w14:paraId="0D5ACC4A" w14:textId="39A71C1C" w:rsidR="00995658" w:rsidRPr="00FD1DC0" w:rsidRDefault="00FB5650" w:rsidP="00995658">
      <w:pPr>
        <w:spacing w:after="0" w:line="360" w:lineRule="auto"/>
        <w:ind w:left="62" w:right="533" w:hanging="11"/>
        <w:rPr>
          <w:rFonts w:ascii="Times New Roman" w:hAnsi="Times New Roman" w:cs="Times New Roman"/>
          <w:lang w:val="es-BO"/>
        </w:rPr>
      </w:pPr>
      <w:r w:rsidRPr="00FD1DC0">
        <w:rPr>
          <w:rFonts w:ascii="Times New Roman" w:hAnsi="Times New Roman" w:cs="Times New Roman"/>
          <w:lang w:val="es-BO"/>
        </w:rPr>
        <w:t>Por lo tanto, e</w:t>
      </w:r>
      <w:r w:rsidR="00995658" w:rsidRPr="00FD1DC0">
        <w:rPr>
          <w:rFonts w:ascii="Times New Roman" w:hAnsi="Times New Roman" w:cs="Times New Roman"/>
          <w:lang w:val="es-BO"/>
        </w:rPr>
        <w:t xml:space="preserve">llo implicaría que esta relación directa e inversa entre el mayor nivel de apreciación del tipo de cambio real (tipo de cambio nominal anclado) y una menor tasa de inflación de ambos países, corroboraría que el tipo de cambio es el principal mecanismo de transmisión de la inflación. </w:t>
      </w:r>
      <w:r w:rsidR="006C001F" w:rsidRPr="00FD1DC0">
        <w:rPr>
          <w:rFonts w:ascii="Times New Roman" w:hAnsi="Times New Roman" w:cs="Times New Roman"/>
          <w:lang w:val="es-BO"/>
        </w:rPr>
        <w:t>De tal forma que la dirección de</w:t>
      </w:r>
      <w:r w:rsidR="00995658" w:rsidRPr="00FD1DC0">
        <w:rPr>
          <w:rFonts w:ascii="Times New Roman" w:hAnsi="Times New Roman" w:cs="Times New Roman"/>
          <w:lang w:val="es-BO"/>
        </w:rPr>
        <w:t xml:space="preserve"> causalidad va desde el tipo de cambio hacia los precios (Mántey, 2010), lo que finalmente explicaría que ambos Bancos Centrales tengan que recurrir con frecuencia a las intervenciones esterilizadas en el mercado cambiario para mantener estable el tipo de cambio nominal y, por tanto, lograr el objetivo de inflación.</w:t>
      </w:r>
    </w:p>
    <w:p w14:paraId="33C239FD" w14:textId="47114EDA" w:rsidR="005E767B" w:rsidRPr="00FD1DC0" w:rsidRDefault="00163175" w:rsidP="005E767B">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Gráfica 2.8</w:t>
      </w:r>
      <w:r w:rsidR="005E767B" w:rsidRPr="00FD1DC0">
        <w:rPr>
          <w:rFonts w:ascii="Times New Roman" w:hAnsi="Times New Roman" w:cs="Times New Roman"/>
          <w:b/>
          <w:lang w:val="es-BO"/>
        </w:rPr>
        <w:t xml:space="preserve"> México. Anclaje del Tipo de Cambio</w:t>
      </w:r>
    </w:p>
    <w:p w14:paraId="18EB6D8B" w14:textId="5BC237BA" w:rsidR="00A872A0" w:rsidRPr="00FD1DC0" w:rsidRDefault="00C81513" w:rsidP="005E767B">
      <w:pPr>
        <w:spacing w:after="0" w:line="240" w:lineRule="auto"/>
        <w:ind w:left="0" w:right="0" w:firstLine="0"/>
        <w:jc w:val="center"/>
        <w:rPr>
          <w:b/>
          <w:lang w:val="es-BO"/>
        </w:rPr>
      </w:pPr>
      <w:r w:rsidRPr="00FD1DC0">
        <w:rPr>
          <w:b/>
          <w:noProof/>
        </w:rPr>
        <w:drawing>
          <wp:inline distT="0" distB="0" distL="0" distR="0" wp14:anchorId="71E546AE" wp14:editId="2DAA622A">
            <wp:extent cx="4604298" cy="13589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081" cy="1383627"/>
                    </a:xfrm>
                    <a:prstGeom prst="rect">
                      <a:avLst/>
                    </a:prstGeom>
                    <a:noFill/>
                    <a:ln>
                      <a:noFill/>
                    </a:ln>
                  </pic:spPr>
                </pic:pic>
              </a:graphicData>
            </a:graphic>
          </wp:inline>
        </w:drawing>
      </w:r>
    </w:p>
    <w:p w14:paraId="06B4EB29" w14:textId="2FC19672" w:rsidR="00E51A4A" w:rsidRPr="00FD1DC0" w:rsidRDefault="007A1C55" w:rsidP="00AE1469">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362389" w:rsidRPr="00FD1DC0">
        <w:rPr>
          <w:sz w:val="16"/>
          <w:szCs w:val="16"/>
          <w:lang w:val="es-BO"/>
        </w:rPr>
        <w:t>Banco de México</w:t>
      </w:r>
    </w:p>
    <w:p w14:paraId="6B5BE696" w14:textId="77777777" w:rsidR="006846B6" w:rsidRDefault="006846B6" w:rsidP="00366D89">
      <w:pPr>
        <w:spacing w:after="0" w:line="240" w:lineRule="auto"/>
        <w:ind w:left="62" w:right="533" w:hanging="11"/>
        <w:jc w:val="center"/>
        <w:rPr>
          <w:rFonts w:ascii="Times New Roman" w:hAnsi="Times New Roman" w:cs="Times New Roman"/>
          <w:b/>
          <w:lang w:val="es-BO"/>
        </w:rPr>
      </w:pPr>
    </w:p>
    <w:p w14:paraId="37D069D0" w14:textId="77777777" w:rsidR="006846B6" w:rsidRDefault="006846B6" w:rsidP="00366D89">
      <w:pPr>
        <w:spacing w:after="0" w:line="240" w:lineRule="auto"/>
        <w:ind w:left="62" w:right="533" w:hanging="11"/>
        <w:jc w:val="center"/>
        <w:rPr>
          <w:rFonts w:ascii="Times New Roman" w:hAnsi="Times New Roman" w:cs="Times New Roman"/>
          <w:b/>
          <w:lang w:val="es-BO"/>
        </w:rPr>
      </w:pPr>
    </w:p>
    <w:p w14:paraId="3BB9F956" w14:textId="77777777" w:rsidR="006846B6" w:rsidRDefault="006846B6" w:rsidP="00366D89">
      <w:pPr>
        <w:spacing w:after="0" w:line="240" w:lineRule="auto"/>
        <w:ind w:left="62" w:right="533" w:hanging="11"/>
        <w:jc w:val="center"/>
        <w:rPr>
          <w:rFonts w:ascii="Times New Roman" w:hAnsi="Times New Roman" w:cs="Times New Roman"/>
          <w:b/>
          <w:lang w:val="es-BO"/>
        </w:rPr>
      </w:pPr>
    </w:p>
    <w:p w14:paraId="3E776B52" w14:textId="3F9E6CA0" w:rsidR="00366D89" w:rsidRPr="00FD1DC0" w:rsidRDefault="00366D89" w:rsidP="00366D89">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163175" w:rsidRPr="00FD1DC0">
        <w:rPr>
          <w:rFonts w:ascii="Times New Roman" w:hAnsi="Times New Roman" w:cs="Times New Roman"/>
          <w:b/>
          <w:lang w:val="es-BO"/>
        </w:rPr>
        <w:t>áfica 2.9</w:t>
      </w:r>
      <w:r w:rsidRPr="00FD1DC0">
        <w:rPr>
          <w:rFonts w:ascii="Times New Roman" w:hAnsi="Times New Roman" w:cs="Times New Roman"/>
          <w:b/>
          <w:lang w:val="es-BO"/>
        </w:rPr>
        <w:t xml:space="preserve"> Mé</w:t>
      </w:r>
      <w:r w:rsidR="009217FD" w:rsidRPr="00FD1DC0">
        <w:rPr>
          <w:rFonts w:ascii="Times New Roman" w:hAnsi="Times New Roman" w:cs="Times New Roman"/>
          <w:b/>
          <w:lang w:val="es-BO"/>
        </w:rPr>
        <w:t>xico. Reservas Internacionales, Base Monetaria</w:t>
      </w:r>
    </w:p>
    <w:p w14:paraId="54FAC771" w14:textId="7DB3C79E" w:rsidR="00366D89" w:rsidRPr="00FD1DC0" w:rsidRDefault="00366D89" w:rsidP="00366D89">
      <w:pPr>
        <w:spacing w:after="0" w:line="240" w:lineRule="auto"/>
        <w:ind w:left="62" w:right="533" w:hanging="11"/>
        <w:jc w:val="center"/>
        <w:rPr>
          <w:rFonts w:ascii="Times New Roman" w:hAnsi="Times New Roman" w:cs="Times New Roman"/>
          <w:b/>
          <w:lang w:val="es-BO"/>
        </w:rPr>
      </w:pPr>
    </w:p>
    <w:p w14:paraId="065D01F5" w14:textId="21898A75" w:rsidR="00366D89" w:rsidRPr="00FD1DC0" w:rsidRDefault="00630917" w:rsidP="00366D89">
      <w:pPr>
        <w:spacing w:after="0" w:line="240" w:lineRule="auto"/>
        <w:ind w:left="0" w:right="0" w:firstLine="0"/>
        <w:jc w:val="center"/>
        <w:rPr>
          <w:b/>
          <w:lang w:val="es-BO"/>
        </w:rPr>
      </w:pPr>
      <w:r w:rsidRPr="00FD1DC0">
        <w:rPr>
          <w:b/>
          <w:noProof/>
        </w:rPr>
        <w:drawing>
          <wp:inline distT="0" distB="0" distL="0" distR="0" wp14:anchorId="6BB817B8" wp14:editId="41BB8B69">
            <wp:extent cx="4591050" cy="2305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2305050"/>
                    </a:xfrm>
                    <a:prstGeom prst="rect">
                      <a:avLst/>
                    </a:prstGeom>
                    <a:noFill/>
                    <a:ln>
                      <a:noFill/>
                    </a:ln>
                  </pic:spPr>
                </pic:pic>
              </a:graphicData>
            </a:graphic>
          </wp:inline>
        </w:drawing>
      </w:r>
    </w:p>
    <w:p w14:paraId="26D398E7" w14:textId="0C125A83" w:rsidR="00236D09" w:rsidRPr="00FD1DC0" w:rsidRDefault="007A1C55" w:rsidP="00163175">
      <w:pPr>
        <w:spacing w:after="0" w:line="240" w:lineRule="auto"/>
        <w:ind w:left="0" w:right="0" w:firstLine="0"/>
        <w:jc w:val="center"/>
        <w:rPr>
          <w:sz w:val="16"/>
          <w:szCs w:val="16"/>
          <w:lang w:val="es-BO"/>
        </w:rPr>
      </w:pPr>
      <w:r w:rsidRPr="00FD1DC0">
        <w:rPr>
          <w:sz w:val="16"/>
          <w:szCs w:val="16"/>
          <w:lang w:val="es-BO"/>
        </w:rPr>
        <w:t>Fuente: Elaborac</w:t>
      </w:r>
      <w:r w:rsidR="000550EA" w:rsidRPr="00FD1DC0">
        <w:rPr>
          <w:sz w:val="16"/>
          <w:szCs w:val="16"/>
          <w:lang w:val="es-BO"/>
        </w:rPr>
        <w:t>ión Pro</w:t>
      </w:r>
      <w:r w:rsidR="00362389" w:rsidRPr="00FD1DC0">
        <w:rPr>
          <w:sz w:val="16"/>
          <w:szCs w:val="16"/>
          <w:lang w:val="es-BO"/>
        </w:rPr>
        <w:t>pia con base a datos del Banco de México</w:t>
      </w:r>
    </w:p>
    <w:p w14:paraId="0C890808" w14:textId="77777777" w:rsidR="006A18A7" w:rsidRDefault="006A18A7" w:rsidP="007536B9">
      <w:pPr>
        <w:spacing w:after="0" w:line="240" w:lineRule="auto"/>
        <w:ind w:left="62" w:right="533" w:hanging="11"/>
        <w:jc w:val="center"/>
        <w:rPr>
          <w:rFonts w:ascii="Times New Roman" w:hAnsi="Times New Roman" w:cs="Times New Roman"/>
          <w:b/>
          <w:lang w:val="es-BO"/>
        </w:rPr>
      </w:pPr>
    </w:p>
    <w:p w14:paraId="489FF4DF" w14:textId="1C55396F" w:rsidR="007536B9" w:rsidRPr="00FD1DC0" w:rsidRDefault="00344DE3" w:rsidP="007536B9">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163175" w:rsidRPr="00FD1DC0">
        <w:rPr>
          <w:rFonts w:ascii="Times New Roman" w:hAnsi="Times New Roman" w:cs="Times New Roman"/>
          <w:b/>
          <w:lang w:val="es-BO"/>
        </w:rPr>
        <w:t>áfica 2.10</w:t>
      </w:r>
      <w:r w:rsidRPr="00FD1DC0">
        <w:rPr>
          <w:rFonts w:ascii="Times New Roman" w:hAnsi="Times New Roman" w:cs="Times New Roman"/>
          <w:b/>
          <w:lang w:val="es-BO"/>
        </w:rPr>
        <w:t xml:space="preserve"> México. </w:t>
      </w:r>
    </w:p>
    <w:p w14:paraId="3B81FAE9" w14:textId="50DB475B" w:rsidR="00344DE3" w:rsidRPr="00FD1DC0" w:rsidRDefault="00344DE3" w:rsidP="00344DE3">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Crédito Interno Neto</w:t>
      </w:r>
    </w:p>
    <w:p w14:paraId="048385B4" w14:textId="7B8B1B96" w:rsidR="00344DE3" w:rsidRPr="00FD1DC0" w:rsidRDefault="00631264" w:rsidP="00344DE3">
      <w:pPr>
        <w:spacing w:after="0" w:line="240" w:lineRule="auto"/>
        <w:ind w:left="0" w:right="0" w:firstLine="0"/>
        <w:jc w:val="center"/>
        <w:rPr>
          <w:b/>
          <w:lang w:val="es-BO"/>
        </w:rPr>
      </w:pPr>
      <w:r w:rsidRPr="00FD1DC0">
        <w:rPr>
          <w:b/>
          <w:noProof/>
        </w:rPr>
        <w:drawing>
          <wp:inline distT="0" distB="0" distL="0" distR="0" wp14:anchorId="1569EAD3" wp14:editId="6F37DDDC">
            <wp:extent cx="4514850" cy="22325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0224" cy="2235219"/>
                    </a:xfrm>
                    <a:prstGeom prst="rect">
                      <a:avLst/>
                    </a:prstGeom>
                    <a:noFill/>
                    <a:ln>
                      <a:noFill/>
                    </a:ln>
                  </pic:spPr>
                </pic:pic>
              </a:graphicData>
            </a:graphic>
          </wp:inline>
        </w:drawing>
      </w:r>
    </w:p>
    <w:p w14:paraId="44AD01B0" w14:textId="20395548" w:rsidR="00344DE3" w:rsidRPr="00FD1DC0" w:rsidRDefault="00344DE3" w:rsidP="00344DE3">
      <w:pPr>
        <w:spacing w:after="0" w:line="240" w:lineRule="auto"/>
        <w:ind w:left="0" w:right="0" w:firstLine="0"/>
        <w:jc w:val="center"/>
        <w:rPr>
          <w:sz w:val="16"/>
          <w:szCs w:val="16"/>
          <w:lang w:val="es-BO"/>
        </w:rPr>
      </w:pPr>
      <w:r w:rsidRPr="00FD1DC0">
        <w:rPr>
          <w:sz w:val="16"/>
          <w:szCs w:val="16"/>
          <w:lang w:val="es-BO"/>
        </w:rPr>
        <w:t>Fuente: Elaborac</w:t>
      </w:r>
      <w:r w:rsidR="00630917" w:rsidRPr="00FD1DC0">
        <w:rPr>
          <w:sz w:val="16"/>
          <w:szCs w:val="16"/>
          <w:lang w:val="es-BO"/>
        </w:rPr>
        <w:t xml:space="preserve">ión Propia con base a datos del </w:t>
      </w:r>
      <w:r w:rsidR="00362389" w:rsidRPr="00FD1DC0">
        <w:rPr>
          <w:sz w:val="16"/>
          <w:szCs w:val="16"/>
          <w:lang w:val="es-BO"/>
        </w:rPr>
        <w:t>Banco de México</w:t>
      </w:r>
    </w:p>
    <w:p w14:paraId="551DAC15" w14:textId="77777777" w:rsidR="00397EAB" w:rsidRPr="00FD1DC0" w:rsidRDefault="00397EAB" w:rsidP="00397EAB">
      <w:pPr>
        <w:spacing w:after="0" w:line="360" w:lineRule="auto"/>
        <w:ind w:left="0" w:right="533" w:firstLine="0"/>
        <w:rPr>
          <w:rFonts w:ascii="Times New Roman" w:hAnsi="Times New Roman" w:cs="Times New Roman"/>
          <w:lang w:val="es-BO"/>
        </w:rPr>
      </w:pPr>
    </w:p>
    <w:p w14:paraId="03EC9533" w14:textId="6E0897C5" w:rsidR="00397EAB" w:rsidRPr="00FD1DC0" w:rsidRDefault="00397EAB" w:rsidP="00397EA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A corto plazo, el hecho de tener estabilidad cambiaria y mantener controlado la inflación provocaron dos efectos positivos:1) disminuyeron las presiones sobre los </w:t>
      </w:r>
      <w:r w:rsidR="001D780B" w:rsidRPr="00FD1DC0">
        <w:rPr>
          <w:rFonts w:ascii="Times New Roman" w:hAnsi="Times New Roman" w:cs="Times New Roman"/>
          <w:lang w:val="es-BO"/>
        </w:rPr>
        <w:t xml:space="preserve">costos productivos </w:t>
      </w:r>
      <w:r w:rsidRPr="00FD1DC0">
        <w:rPr>
          <w:rFonts w:ascii="Times New Roman" w:hAnsi="Times New Roman" w:cs="Times New Roman"/>
          <w:lang w:val="es-BO"/>
        </w:rPr>
        <w:t>y financieros, y 2) una mejora del balance presupuestal, como resultado de la menor inflación.</w:t>
      </w:r>
    </w:p>
    <w:p w14:paraId="51915382" w14:textId="3730269F" w:rsidR="006C001F" w:rsidRPr="00FD1DC0" w:rsidRDefault="001D780B" w:rsidP="008D1D09">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Sin embargo, estos resultados positivos de corto plazo no pudieron sostenerse en el mediano y largo plazo, debido a que la sostenibilidad de tasas de inflación bajas y estables requiere del crecimiento del producto, acompañado de una reducción del déficit de la balanza comercial para lograr la estabilidad cambiaria</w:t>
      </w:r>
      <w:r w:rsidR="00E51A4A" w:rsidRPr="00FD1DC0">
        <w:rPr>
          <w:rFonts w:ascii="Times New Roman" w:hAnsi="Times New Roman" w:cs="Times New Roman"/>
          <w:lang w:val="es-BO"/>
        </w:rPr>
        <w:t>.</w:t>
      </w:r>
    </w:p>
    <w:p w14:paraId="40865177" w14:textId="77777777" w:rsidR="006846B6" w:rsidRDefault="006846B6" w:rsidP="005E767B">
      <w:pPr>
        <w:spacing w:after="0" w:line="240" w:lineRule="auto"/>
        <w:ind w:left="62" w:right="533" w:hanging="11"/>
        <w:jc w:val="center"/>
        <w:rPr>
          <w:rFonts w:ascii="Times New Roman" w:hAnsi="Times New Roman" w:cs="Times New Roman"/>
          <w:b/>
          <w:lang w:val="es-BO"/>
        </w:rPr>
      </w:pPr>
    </w:p>
    <w:p w14:paraId="61407932" w14:textId="77777777" w:rsidR="006846B6" w:rsidRDefault="006846B6" w:rsidP="005E767B">
      <w:pPr>
        <w:spacing w:after="0" w:line="240" w:lineRule="auto"/>
        <w:ind w:left="62" w:right="533" w:hanging="11"/>
        <w:jc w:val="center"/>
        <w:rPr>
          <w:rFonts w:ascii="Times New Roman" w:hAnsi="Times New Roman" w:cs="Times New Roman"/>
          <w:b/>
          <w:lang w:val="es-BO"/>
        </w:rPr>
      </w:pPr>
    </w:p>
    <w:p w14:paraId="25A7A502" w14:textId="0F2388B6" w:rsidR="005E767B" w:rsidRPr="00FD1DC0" w:rsidRDefault="005E767B" w:rsidP="005E767B">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Gráfica 2.</w:t>
      </w:r>
      <w:r w:rsidR="00163175" w:rsidRPr="00FD1DC0">
        <w:rPr>
          <w:rFonts w:ascii="Times New Roman" w:hAnsi="Times New Roman" w:cs="Times New Roman"/>
          <w:b/>
          <w:lang w:val="es-BO"/>
        </w:rPr>
        <w:t>11</w:t>
      </w:r>
      <w:r w:rsidRPr="00FD1DC0">
        <w:rPr>
          <w:rFonts w:ascii="Times New Roman" w:hAnsi="Times New Roman" w:cs="Times New Roman"/>
          <w:b/>
          <w:lang w:val="es-BO"/>
        </w:rPr>
        <w:t xml:space="preserve"> Brasil. Anclaje del Tipo de Cambio</w:t>
      </w:r>
    </w:p>
    <w:p w14:paraId="2B71FF4A" w14:textId="6042FD33" w:rsidR="005E767B" w:rsidRPr="00FD1DC0" w:rsidRDefault="00BD4A56" w:rsidP="005E767B">
      <w:pPr>
        <w:spacing w:after="0" w:line="240" w:lineRule="auto"/>
        <w:ind w:left="0" w:right="0" w:firstLine="0"/>
        <w:jc w:val="center"/>
        <w:rPr>
          <w:b/>
          <w:lang w:val="es-BO"/>
        </w:rPr>
      </w:pPr>
      <w:r w:rsidRPr="00FD1DC0">
        <w:rPr>
          <w:b/>
          <w:noProof/>
        </w:rPr>
        <w:drawing>
          <wp:inline distT="0" distB="0" distL="0" distR="0" wp14:anchorId="37C26D99" wp14:editId="2C1F11AD">
            <wp:extent cx="4627245" cy="23241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459" cy="2348818"/>
                    </a:xfrm>
                    <a:prstGeom prst="rect">
                      <a:avLst/>
                    </a:prstGeom>
                    <a:noFill/>
                    <a:ln>
                      <a:noFill/>
                    </a:ln>
                  </pic:spPr>
                </pic:pic>
              </a:graphicData>
            </a:graphic>
          </wp:inline>
        </w:drawing>
      </w:r>
    </w:p>
    <w:p w14:paraId="3F650106" w14:textId="25B510F6" w:rsidR="00900B05" w:rsidRPr="00FD1DC0" w:rsidRDefault="007A1C55" w:rsidP="006C001F">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362389" w:rsidRPr="00FD1DC0">
        <w:rPr>
          <w:sz w:val="16"/>
          <w:szCs w:val="16"/>
          <w:lang w:val="es-BO"/>
        </w:rPr>
        <w:t>Banco Central del Brasil</w:t>
      </w:r>
    </w:p>
    <w:p w14:paraId="17B6ADE0" w14:textId="465E2344" w:rsidR="007D7105" w:rsidRPr="00FD1DC0" w:rsidRDefault="007D7105" w:rsidP="00F705AA">
      <w:pPr>
        <w:spacing w:after="0" w:line="240" w:lineRule="auto"/>
        <w:ind w:left="0" w:right="0" w:firstLine="0"/>
        <w:rPr>
          <w:sz w:val="16"/>
          <w:szCs w:val="16"/>
          <w:lang w:val="es-BO"/>
        </w:rPr>
      </w:pPr>
    </w:p>
    <w:p w14:paraId="2E715D0E" w14:textId="1C6D0F0C" w:rsidR="000405E3" w:rsidRPr="00FD1DC0" w:rsidRDefault="00366D89" w:rsidP="000405E3">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163175" w:rsidRPr="00FD1DC0">
        <w:rPr>
          <w:rFonts w:ascii="Times New Roman" w:hAnsi="Times New Roman" w:cs="Times New Roman"/>
          <w:b/>
          <w:lang w:val="es-BO"/>
        </w:rPr>
        <w:t>áfica 2.12</w:t>
      </w:r>
      <w:r w:rsidRPr="00FD1DC0">
        <w:rPr>
          <w:rFonts w:ascii="Times New Roman" w:hAnsi="Times New Roman" w:cs="Times New Roman"/>
          <w:b/>
          <w:lang w:val="es-BO"/>
        </w:rPr>
        <w:t xml:space="preserve"> Brasil. Reservas Internacionales</w:t>
      </w:r>
      <w:r w:rsidR="007155BB" w:rsidRPr="00FD1DC0">
        <w:rPr>
          <w:rFonts w:ascii="Times New Roman" w:hAnsi="Times New Roman" w:cs="Times New Roman"/>
          <w:b/>
          <w:lang w:val="es-BO"/>
        </w:rPr>
        <w:t>, Base Monetaria</w:t>
      </w:r>
      <w:r w:rsidRPr="00FD1DC0">
        <w:rPr>
          <w:rFonts w:ascii="Times New Roman" w:hAnsi="Times New Roman" w:cs="Times New Roman"/>
          <w:b/>
          <w:lang w:val="es-BO"/>
        </w:rPr>
        <w:t xml:space="preserve"> </w:t>
      </w:r>
    </w:p>
    <w:p w14:paraId="065B9571" w14:textId="63682C1E" w:rsidR="000405E3" w:rsidRPr="00FD1DC0" w:rsidRDefault="000405E3" w:rsidP="000405E3">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y Crédito Interno Neto</w:t>
      </w:r>
    </w:p>
    <w:p w14:paraId="17A77A12" w14:textId="4F447A9D" w:rsidR="00366D89" w:rsidRPr="00FD1DC0" w:rsidRDefault="000405E3" w:rsidP="000405E3">
      <w:pPr>
        <w:spacing w:after="0" w:line="240" w:lineRule="auto"/>
        <w:ind w:left="62" w:right="533" w:hanging="11"/>
        <w:jc w:val="center"/>
        <w:rPr>
          <w:rFonts w:ascii="Times New Roman" w:hAnsi="Times New Roman" w:cs="Times New Roman"/>
          <w:b/>
          <w:lang w:val="es-BO"/>
        </w:rPr>
      </w:pPr>
      <w:r w:rsidRPr="00FD1DC0">
        <w:rPr>
          <w:b/>
          <w:noProof/>
        </w:rPr>
        <w:drawing>
          <wp:inline distT="0" distB="0" distL="0" distR="0" wp14:anchorId="77CCBC83" wp14:editId="7B85370E">
            <wp:extent cx="4787900" cy="2357112"/>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455" cy="2368216"/>
                    </a:xfrm>
                    <a:prstGeom prst="rect">
                      <a:avLst/>
                    </a:prstGeom>
                    <a:noFill/>
                    <a:ln>
                      <a:noFill/>
                    </a:ln>
                  </pic:spPr>
                </pic:pic>
              </a:graphicData>
            </a:graphic>
          </wp:inline>
        </w:drawing>
      </w:r>
    </w:p>
    <w:p w14:paraId="0CEC5A8B" w14:textId="683047E4" w:rsidR="007A1C55" w:rsidRPr="00FD1DC0" w:rsidRDefault="007A1C55" w:rsidP="007A1C55">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E02164" w:rsidRPr="00FD1DC0">
        <w:rPr>
          <w:sz w:val="16"/>
          <w:szCs w:val="16"/>
          <w:lang w:val="es-BO"/>
        </w:rPr>
        <w:t>Banco Central del Brasil</w:t>
      </w:r>
    </w:p>
    <w:p w14:paraId="667C7A02" w14:textId="77777777" w:rsidR="002137F0" w:rsidRPr="00FD1DC0" w:rsidRDefault="002137F0" w:rsidP="002137F0">
      <w:pPr>
        <w:spacing w:after="0" w:line="360" w:lineRule="auto"/>
        <w:ind w:left="0" w:right="533" w:firstLine="0"/>
        <w:rPr>
          <w:rFonts w:ascii="Times New Roman" w:hAnsi="Times New Roman" w:cs="Times New Roman"/>
          <w:lang w:val="es-BO"/>
        </w:rPr>
      </w:pPr>
    </w:p>
    <w:p w14:paraId="3AEB87BB" w14:textId="4142AC64" w:rsidR="00983439" w:rsidRPr="00FD1DC0" w:rsidRDefault="002137F0" w:rsidP="002137F0">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En esa línea, la estabilidad monetaria lograda a través del anclaje del tipo de cambio, que presupone la sobreacumulación de reservas internacionales, acompañado de la intervención </w:t>
      </w:r>
      <w:r w:rsidR="003E1E18" w:rsidRPr="00FD1DC0">
        <w:rPr>
          <w:rFonts w:ascii="Times New Roman" w:hAnsi="Times New Roman" w:cs="Times New Roman"/>
          <w:lang w:val="es-BO"/>
        </w:rPr>
        <w:t xml:space="preserve">esterilizada </w:t>
      </w:r>
      <w:r w:rsidRPr="00FD1DC0">
        <w:rPr>
          <w:rFonts w:ascii="Times New Roman" w:hAnsi="Times New Roman" w:cs="Times New Roman"/>
          <w:lang w:val="es-BO"/>
        </w:rPr>
        <w:t>en los mercados cambiarios, es una estrategia utilizado por ambos Bancos Centrales para l</w:t>
      </w:r>
      <w:r w:rsidR="006A18A7">
        <w:rPr>
          <w:rFonts w:ascii="Times New Roman" w:hAnsi="Times New Roman" w:cs="Times New Roman"/>
          <w:lang w:val="es-BO"/>
        </w:rPr>
        <w:t>ograr el objetivo de inflación.</w:t>
      </w:r>
    </w:p>
    <w:p w14:paraId="6A829434" w14:textId="71E48F17" w:rsidR="00560EBA" w:rsidRPr="00FD1DC0" w:rsidRDefault="00155BC2" w:rsidP="00560EBA">
      <w:pPr>
        <w:spacing w:after="225" w:line="259" w:lineRule="auto"/>
        <w:ind w:left="0" w:right="0" w:firstLine="0"/>
        <w:jc w:val="left"/>
        <w:rPr>
          <w:b/>
          <w:lang w:val="es-BO"/>
        </w:rPr>
      </w:pPr>
      <w:r>
        <w:rPr>
          <w:b/>
          <w:lang w:val="es-BO"/>
        </w:rPr>
        <w:t>2.2</w:t>
      </w:r>
      <w:r w:rsidR="00560EBA" w:rsidRPr="00FD1DC0">
        <w:rPr>
          <w:b/>
          <w:lang w:val="es-BO"/>
        </w:rPr>
        <w:t xml:space="preserve"> Estabilidad Monetaria, Bajo Crecimiento Económico y Desequilibrios Externos</w:t>
      </w:r>
    </w:p>
    <w:p w14:paraId="0AAA57DE" w14:textId="00695676" w:rsidR="00560EBA" w:rsidRPr="00FD1DC0" w:rsidRDefault="005A66FD" w:rsidP="005056ED">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la gráfica</w:t>
      </w:r>
      <w:r w:rsidR="00560EBA" w:rsidRPr="00FD1DC0">
        <w:rPr>
          <w:rFonts w:ascii="Times New Roman" w:hAnsi="Times New Roman" w:cs="Times New Roman"/>
          <w:lang w:val="es-BO"/>
        </w:rPr>
        <w:t xml:space="preserve"> 2.</w:t>
      </w:r>
      <w:r w:rsidR="00163175" w:rsidRPr="00FD1DC0">
        <w:rPr>
          <w:rFonts w:ascii="Times New Roman" w:hAnsi="Times New Roman" w:cs="Times New Roman"/>
          <w:lang w:val="es-BO"/>
        </w:rPr>
        <w:t>13</w:t>
      </w:r>
      <w:r w:rsidRPr="00FD1DC0">
        <w:rPr>
          <w:rFonts w:ascii="Times New Roman" w:hAnsi="Times New Roman" w:cs="Times New Roman"/>
          <w:lang w:val="es-BO"/>
        </w:rPr>
        <w:t xml:space="preserve"> </w:t>
      </w:r>
      <w:r w:rsidR="00560EBA" w:rsidRPr="00FD1DC0">
        <w:rPr>
          <w:rFonts w:ascii="Times New Roman" w:hAnsi="Times New Roman" w:cs="Times New Roman"/>
          <w:lang w:val="es-BO"/>
        </w:rPr>
        <w:t>se muestra</w:t>
      </w:r>
      <w:r w:rsidRPr="00FD1DC0">
        <w:rPr>
          <w:rFonts w:ascii="Times New Roman" w:hAnsi="Times New Roman" w:cs="Times New Roman"/>
          <w:lang w:val="es-BO"/>
        </w:rPr>
        <w:t xml:space="preserve"> los diferenciales de las tasas de política monetaria de</w:t>
      </w:r>
      <w:r w:rsidR="00560EBA" w:rsidRPr="00FD1DC0">
        <w:rPr>
          <w:rFonts w:ascii="Times New Roman" w:hAnsi="Times New Roman" w:cs="Times New Roman"/>
          <w:lang w:val="es-BO"/>
        </w:rPr>
        <w:t xml:space="preserve"> México</w:t>
      </w:r>
      <w:r w:rsidRPr="00FD1DC0">
        <w:rPr>
          <w:rFonts w:ascii="Times New Roman" w:hAnsi="Times New Roman" w:cs="Times New Roman"/>
          <w:lang w:val="es-BO"/>
        </w:rPr>
        <w:t xml:space="preserve">, </w:t>
      </w:r>
      <w:r w:rsidR="00560EBA" w:rsidRPr="00FD1DC0">
        <w:rPr>
          <w:rFonts w:ascii="Times New Roman" w:hAnsi="Times New Roman" w:cs="Times New Roman"/>
          <w:lang w:val="es-BO"/>
        </w:rPr>
        <w:t>Brasil</w:t>
      </w:r>
      <w:r w:rsidRPr="00FD1DC0">
        <w:rPr>
          <w:rFonts w:ascii="Times New Roman" w:hAnsi="Times New Roman" w:cs="Times New Roman"/>
          <w:lang w:val="es-BO"/>
        </w:rPr>
        <w:t xml:space="preserve"> y Estados Unidos,</w:t>
      </w:r>
      <w:r w:rsidR="00560EBA" w:rsidRPr="00FD1DC0">
        <w:rPr>
          <w:rFonts w:ascii="Times New Roman" w:hAnsi="Times New Roman" w:cs="Times New Roman"/>
          <w:lang w:val="es-BO"/>
        </w:rPr>
        <w:t xml:space="preserve"> </w:t>
      </w:r>
      <w:r w:rsidRPr="00FD1DC0">
        <w:rPr>
          <w:rFonts w:ascii="Times New Roman" w:hAnsi="Times New Roman" w:cs="Times New Roman"/>
          <w:lang w:val="es-BO"/>
        </w:rPr>
        <w:t xml:space="preserve">podemos advertir que a lo largo del tiempo tienen un parecido comportamiento y que </w:t>
      </w:r>
      <w:r w:rsidR="003D1129" w:rsidRPr="00FD1DC0">
        <w:rPr>
          <w:rFonts w:ascii="Times New Roman" w:hAnsi="Times New Roman" w:cs="Times New Roman"/>
          <w:lang w:val="es-BO"/>
        </w:rPr>
        <w:t xml:space="preserve">además existe </w:t>
      </w:r>
      <w:r w:rsidRPr="00FD1DC0">
        <w:rPr>
          <w:rFonts w:ascii="Times New Roman" w:hAnsi="Times New Roman" w:cs="Times New Roman"/>
          <w:lang w:val="es-BO"/>
        </w:rPr>
        <w:t>una relación de equilibrio o de largo plazo entre las mismas</w:t>
      </w:r>
      <w:r w:rsidR="003D1129" w:rsidRPr="00FD1DC0">
        <w:rPr>
          <w:rFonts w:ascii="Times New Roman" w:hAnsi="Times New Roman" w:cs="Times New Roman"/>
          <w:lang w:val="es-BO"/>
        </w:rPr>
        <w:t>.</w:t>
      </w:r>
      <w:r w:rsidR="006377AC" w:rsidRPr="00FD1DC0">
        <w:rPr>
          <w:rFonts w:ascii="Times New Roman" w:hAnsi="Times New Roman" w:cs="Times New Roman"/>
          <w:lang w:val="es-BO"/>
        </w:rPr>
        <w:t xml:space="preserve"> </w:t>
      </w:r>
    </w:p>
    <w:p w14:paraId="6AF46115" w14:textId="6EAECB40" w:rsidR="006A18A7" w:rsidRPr="00FD1DC0" w:rsidRDefault="00BA6060" w:rsidP="00C95DA1">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w:t>
      </w:r>
      <w:r w:rsidR="006C18C0" w:rsidRPr="00FD1DC0">
        <w:rPr>
          <w:rFonts w:ascii="Times New Roman" w:hAnsi="Times New Roman" w:cs="Times New Roman"/>
          <w:lang w:val="es-BO"/>
        </w:rPr>
        <w:t xml:space="preserve"> la década de los </w:t>
      </w:r>
      <w:r w:rsidR="003D1129" w:rsidRPr="00FD1DC0">
        <w:rPr>
          <w:rFonts w:ascii="Times New Roman" w:hAnsi="Times New Roman" w:cs="Times New Roman"/>
          <w:lang w:val="es-BO"/>
        </w:rPr>
        <w:t xml:space="preserve">años noventa para ambos </w:t>
      </w:r>
      <w:r w:rsidR="006C18C0" w:rsidRPr="00FD1DC0">
        <w:rPr>
          <w:rFonts w:ascii="Times New Roman" w:hAnsi="Times New Roman" w:cs="Times New Roman"/>
          <w:lang w:val="es-BO"/>
        </w:rPr>
        <w:t xml:space="preserve">países y los primeros años del siglo XXI, el hecho </w:t>
      </w:r>
      <w:r w:rsidRPr="00FD1DC0">
        <w:rPr>
          <w:rFonts w:ascii="Times New Roman" w:hAnsi="Times New Roman" w:cs="Times New Roman"/>
          <w:lang w:val="es-BO"/>
        </w:rPr>
        <w:t>de</w:t>
      </w:r>
      <w:r w:rsidR="006C18C0" w:rsidRPr="00FD1DC0">
        <w:rPr>
          <w:rFonts w:ascii="Times New Roman" w:hAnsi="Times New Roman" w:cs="Times New Roman"/>
          <w:lang w:val="es-BO"/>
        </w:rPr>
        <w:t xml:space="preserve"> haber mantenido</w:t>
      </w:r>
      <w:r w:rsidRPr="00FD1DC0">
        <w:rPr>
          <w:rFonts w:ascii="Times New Roman" w:hAnsi="Times New Roman" w:cs="Times New Roman"/>
          <w:lang w:val="es-BO"/>
        </w:rPr>
        <w:t xml:space="preserve"> </w:t>
      </w:r>
      <w:r w:rsidR="006C18C0" w:rsidRPr="00FD1DC0">
        <w:rPr>
          <w:rFonts w:ascii="Times New Roman" w:hAnsi="Times New Roman" w:cs="Times New Roman"/>
          <w:lang w:val="es-BO"/>
        </w:rPr>
        <w:t>altas tasas de interés</w:t>
      </w:r>
      <w:r w:rsidRPr="00FD1DC0">
        <w:rPr>
          <w:rFonts w:ascii="Times New Roman" w:hAnsi="Times New Roman" w:cs="Times New Roman"/>
          <w:lang w:val="es-BO"/>
        </w:rPr>
        <w:t xml:space="preserve"> </w:t>
      </w:r>
      <w:r w:rsidR="006C18C0" w:rsidRPr="00FD1DC0">
        <w:rPr>
          <w:rFonts w:ascii="Times New Roman" w:hAnsi="Times New Roman" w:cs="Times New Roman"/>
          <w:lang w:val="es-BO"/>
        </w:rPr>
        <w:t>permitía atraer flujos de capital de cartera que provocaban presiones al alza sobre la oferta de la base monetaria.  La misma se reflejaba en una caída de la demanda de depósitos en ambos Bancos Centrales por parte de los bancos comerciales, y acompañado de la contracción de la demanda de efectivo por parte del público, la misma generaría una caída del crecimiento económico en ambos países, tal como se puede visualizar en las gr</w:t>
      </w:r>
      <w:r w:rsidR="00152E2D" w:rsidRPr="00FD1DC0">
        <w:rPr>
          <w:rFonts w:ascii="Times New Roman" w:hAnsi="Times New Roman" w:cs="Times New Roman"/>
          <w:lang w:val="es-BO"/>
        </w:rPr>
        <w:t>áficas 2.8 y 2.9</w:t>
      </w:r>
      <w:r w:rsidR="006C18C0" w:rsidRPr="00FD1DC0">
        <w:rPr>
          <w:rFonts w:ascii="Times New Roman" w:hAnsi="Times New Roman" w:cs="Times New Roman"/>
          <w:lang w:val="es-BO"/>
        </w:rPr>
        <w:t>.</w:t>
      </w:r>
    </w:p>
    <w:p w14:paraId="5FCAD920" w14:textId="66E741BD" w:rsidR="005056ED" w:rsidRPr="00FD1DC0" w:rsidRDefault="005056ED" w:rsidP="005056ED">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E02164" w:rsidRPr="00FD1DC0">
        <w:rPr>
          <w:rFonts w:ascii="Times New Roman" w:hAnsi="Times New Roman" w:cs="Times New Roman"/>
          <w:b/>
          <w:lang w:val="es-BO"/>
        </w:rPr>
        <w:t>áfica 2.</w:t>
      </w:r>
      <w:r w:rsidR="00163175" w:rsidRPr="00FD1DC0">
        <w:rPr>
          <w:rFonts w:ascii="Times New Roman" w:hAnsi="Times New Roman" w:cs="Times New Roman"/>
          <w:b/>
          <w:lang w:val="es-BO"/>
        </w:rPr>
        <w:t>13</w:t>
      </w:r>
      <w:r w:rsidRPr="00FD1DC0">
        <w:rPr>
          <w:rFonts w:ascii="Times New Roman" w:hAnsi="Times New Roman" w:cs="Times New Roman"/>
          <w:b/>
          <w:lang w:val="es-BO"/>
        </w:rPr>
        <w:t xml:space="preserve"> </w:t>
      </w:r>
      <w:bookmarkStart w:id="1" w:name="OLE_LINK1"/>
      <w:r w:rsidRPr="00FD1DC0">
        <w:rPr>
          <w:rFonts w:ascii="Times New Roman" w:hAnsi="Times New Roman" w:cs="Times New Roman"/>
          <w:b/>
          <w:lang w:val="es-BO"/>
        </w:rPr>
        <w:t>M</w:t>
      </w:r>
      <w:r w:rsidR="00B102F2" w:rsidRPr="00FD1DC0">
        <w:rPr>
          <w:rFonts w:ascii="Times New Roman" w:hAnsi="Times New Roman" w:cs="Times New Roman"/>
          <w:b/>
          <w:lang w:val="es-BO"/>
        </w:rPr>
        <w:t>éxico y Brasil</w:t>
      </w:r>
      <w:bookmarkEnd w:id="1"/>
      <w:r w:rsidRPr="00FD1DC0">
        <w:rPr>
          <w:rFonts w:ascii="Times New Roman" w:hAnsi="Times New Roman" w:cs="Times New Roman"/>
          <w:b/>
          <w:lang w:val="es-BO"/>
        </w:rPr>
        <w:t xml:space="preserve"> </w:t>
      </w:r>
      <w:r w:rsidR="006D7745" w:rsidRPr="00FD1DC0">
        <w:rPr>
          <w:rFonts w:ascii="Times New Roman" w:hAnsi="Times New Roman" w:cs="Times New Roman"/>
          <w:b/>
          <w:lang w:val="es-BO"/>
        </w:rPr>
        <w:t>Diferenciales de Tasas de Interés</w:t>
      </w:r>
    </w:p>
    <w:p w14:paraId="03F884E2" w14:textId="7F152C75" w:rsidR="005056ED" w:rsidRPr="00FD1DC0" w:rsidRDefault="006D7745" w:rsidP="005056ED">
      <w:pPr>
        <w:spacing w:after="0" w:line="240" w:lineRule="auto"/>
        <w:ind w:left="0" w:right="0" w:firstLine="0"/>
        <w:jc w:val="center"/>
        <w:rPr>
          <w:b/>
          <w:lang w:val="es-BO"/>
        </w:rPr>
      </w:pPr>
      <w:r w:rsidRPr="00FD1DC0">
        <w:rPr>
          <w:b/>
          <w:noProof/>
        </w:rPr>
        <w:drawing>
          <wp:inline distT="0" distB="0" distL="0" distR="0" wp14:anchorId="5E0BAFFE" wp14:editId="262358FD">
            <wp:extent cx="5077276" cy="24641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9553" cy="2474941"/>
                    </a:xfrm>
                    <a:prstGeom prst="rect">
                      <a:avLst/>
                    </a:prstGeom>
                    <a:noFill/>
                    <a:ln>
                      <a:noFill/>
                    </a:ln>
                  </pic:spPr>
                </pic:pic>
              </a:graphicData>
            </a:graphic>
          </wp:inline>
        </w:drawing>
      </w:r>
    </w:p>
    <w:p w14:paraId="3050B067" w14:textId="184DD5A2" w:rsidR="00F7081B" w:rsidRPr="00FD1DC0" w:rsidRDefault="005056ED" w:rsidP="000B5416">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600F27" w:rsidRPr="00FD1DC0">
        <w:rPr>
          <w:sz w:val="16"/>
          <w:szCs w:val="16"/>
          <w:lang w:val="es-BO"/>
        </w:rPr>
        <w:t>FMI</w:t>
      </w:r>
    </w:p>
    <w:p w14:paraId="0B04F6C3" w14:textId="6C892FC6" w:rsidR="004F4DCA" w:rsidRPr="00FD1DC0" w:rsidRDefault="0042119B" w:rsidP="004F4DCA">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Por otro lado</w:t>
      </w:r>
      <w:r w:rsidR="00560EBA" w:rsidRPr="00FD1DC0">
        <w:rPr>
          <w:rFonts w:ascii="Times New Roman" w:hAnsi="Times New Roman" w:cs="Times New Roman"/>
          <w:lang w:val="es-BO"/>
        </w:rPr>
        <w:t>, e</w:t>
      </w:r>
      <w:r w:rsidRPr="00FD1DC0">
        <w:rPr>
          <w:rFonts w:ascii="Times New Roman" w:hAnsi="Times New Roman" w:cs="Times New Roman"/>
          <w:lang w:val="es-BO"/>
        </w:rPr>
        <w:t>n la gráfica</w:t>
      </w:r>
      <w:r w:rsidR="00560EBA" w:rsidRPr="00FD1DC0">
        <w:rPr>
          <w:rFonts w:ascii="Times New Roman" w:hAnsi="Times New Roman" w:cs="Times New Roman"/>
          <w:lang w:val="es-BO"/>
        </w:rPr>
        <w:t xml:space="preserve"> </w:t>
      </w:r>
      <w:r w:rsidR="00163175" w:rsidRPr="00FD1DC0">
        <w:rPr>
          <w:rFonts w:ascii="Times New Roman" w:hAnsi="Times New Roman" w:cs="Times New Roman"/>
          <w:lang w:val="es-BO"/>
        </w:rPr>
        <w:t>2.14</w:t>
      </w:r>
      <w:r w:rsidR="00560EBA" w:rsidRPr="00FD1DC0">
        <w:rPr>
          <w:rFonts w:ascii="Times New Roman" w:hAnsi="Times New Roman" w:cs="Times New Roman"/>
          <w:lang w:val="es-BO"/>
        </w:rPr>
        <w:t xml:space="preserve"> se muestra que México</w:t>
      </w:r>
      <w:r w:rsidR="003D11D6" w:rsidRPr="00FD1DC0">
        <w:rPr>
          <w:rFonts w:ascii="Times New Roman" w:hAnsi="Times New Roman" w:cs="Times New Roman"/>
          <w:lang w:val="es-BO"/>
        </w:rPr>
        <w:t xml:space="preserve"> y Brasil </w:t>
      </w:r>
      <w:r w:rsidRPr="00FD1DC0">
        <w:rPr>
          <w:rFonts w:ascii="Times New Roman" w:hAnsi="Times New Roman" w:cs="Times New Roman"/>
          <w:lang w:val="es-BO"/>
        </w:rPr>
        <w:t xml:space="preserve">si bien logran </w:t>
      </w:r>
      <w:r w:rsidR="00560EBA" w:rsidRPr="00FD1DC0">
        <w:rPr>
          <w:rFonts w:ascii="Times New Roman" w:hAnsi="Times New Roman" w:cs="Times New Roman"/>
          <w:lang w:val="es-BO"/>
        </w:rPr>
        <w:t xml:space="preserve">el objetivo de </w:t>
      </w:r>
      <w:r w:rsidRPr="00FD1DC0">
        <w:rPr>
          <w:rFonts w:ascii="Times New Roman" w:hAnsi="Times New Roman" w:cs="Times New Roman"/>
          <w:lang w:val="es-BO"/>
        </w:rPr>
        <w:t>inflación</w:t>
      </w:r>
      <w:r w:rsidR="003D11D6" w:rsidRPr="00FD1DC0">
        <w:rPr>
          <w:rFonts w:ascii="Times New Roman" w:hAnsi="Times New Roman" w:cs="Times New Roman"/>
          <w:lang w:val="es-BO"/>
        </w:rPr>
        <w:t>,</w:t>
      </w:r>
      <w:r w:rsidRPr="00FD1DC0">
        <w:rPr>
          <w:rFonts w:ascii="Times New Roman" w:hAnsi="Times New Roman" w:cs="Times New Roman"/>
          <w:lang w:val="es-BO"/>
        </w:rPr>
        <w:t xml:space="preserve"> la misma es a costa de un mal desempeño en términos de crecimiento económico y que la misma es fuertemente dependiente, </w:t>
      </w:r>
      <w:r w:rsidR="00560EBA" w:rsidRPr="00FD1DC0">
        <w:rPr>
          <w:rFonts w:ascii="Times New Roman" w:hAnsi="Times New Roman" w:cs="Times New Roman"/>
          <w:lang w:val="es-BO"/>
        </w:rPr>
        <w:t>de la sobre-of</w:t>
      </w:r>
      <w:r w:rsidRPr="00FD1DC0">
        <w:rPr>
          <w:rFonts w:ascii="Times New Roman" w:hAnsi="Times New Roman" w:cs="Times New Roman"/>
          <w:lang w:val="es-BO"/>
        </w:rPr>
        <w:t xml:space="preserve">erta de divisas y </w:t>
      </w:r>
      <w:r w:rsidR="00560EBA" w:rsidRPr="00FD1DC0">
        <w:rPr>
          <w:rFonts w:ascii="Times New Roman" w:hAnsi="Times New Roman" w:cs="Times New Roman"/>
          <w:lang w:val="es-BO"/>
        </w:rPr>
        <w:t xml:space="preserve">de las intervenciones esterilizadas. </w:t>
      </w:r>
    </w:p>
    <w:p w14:paraId="1506F1B6" w14:textId="67B44158" w:rsidR="00B337CB" w:rsidRPr="00FD1DC0" w:rsidRDefault="004F4DCA" w:rsidP="00BE132D">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Sin embargo, la política de altas tasa </w:t>
      </w:r>
      <w:r w:rsidR="00467731" w:rsidRPr="00FD1DC0">
        <w:rPr>
          <w:rFonts w:ascii="Times New Roman" w:hAnsi="Times New Roman" w:cs="Times New Roman"/>
          <w:lang w:val="es-BO"/>
        </w:rPr>
        <w:t>de interés</w:t>
      </w:r>
      <w:r w:rsidRPr="00FD1DC0">
        <w:rPr>
          <w:rFonts w:ascii="Times New Roman" w:hAnsi="Times New Roman" w:cs="Times New Roman"/>
          <w:lang w:val="es-BO"/>
        </w:rPr>
        <w:t xml:space="preserve"> retroalimenta </w:t>
      </w:r>
      <w:r w:rsidR="00467731" w:rsidRPr="00FD1DC0">
        <w:rPr>
          <w:rFonts w:ascii="Times New Roman" w:hAnsi="Times New Roman" w:cs="Times New Roman"/>
          <w:lang w:val="es-BO"/>
        </w:rPr>
        <w:t>las presiones inflacionarias y</w:t>
      </w:r>
      <w:r w:rsidRPr="00FD1DC0">
        <w:rPr>
          <w:rFonts w:ascii="Times New Roman" w:hAnsi="Times New Roman" w:cs="Times New Roman"/>
          <w:lang w:val="es-BO"/>
        </w:rPr>
        <w:t xml:space="preserve"> por lo mismo encarece </w:t>
      </w:r>
      <w:r w:rsidR="00467731" w:rsidRPr="00FD1DC0">
        <w:rPr>
          <w:rFonts w:ascii="Times New Roman" w:hAnsi="Times New Roman" w:cs="Times New Roman"/>
          <w:lang w:val="es-BO"/>
        </w:rPr>
        <w:t>el crédito</w:t>
      </w:r>
      <w:r w:rsidRPr="00FD1DC0">
        <w:rPr>
          <w:rFonts w:ascii="Times New Roman" w:hAnsi="Times New Roman" w:cs="Times New Roman"/>
          <w:lang w:val="es-BO"/>
        </w:rPr>
        <w:t xml:space="preserve"> para los agentes económicos, y la misma va en desmedro de variables reales como el crecimiento </w:t>
      </w:r>
      <w:r w:rsidR="00467731" w:rsidRPr="00FD1DC0">
        <w:rPr>
          <w:rFonts w:ascii="Times New Roman" w:hAnsi="Times New Roman" w:cs="Times New Roman"/>
          <w:lang w:val="es-BO"/>
        </w:rPr>
        <w:t>económico</w:t>
      </w:r>
      <w:r w:rsidRPr="00FD1DC0">
        <w:rPr>
          <w:rFonts w:ascii="Times New Roman" w:hAnsi="Times New Roman" w:cs="Times New Roman"/>
          <w:lang w:val="es-BO"/>
        </w:rPr>
        <w:t>, tal como se mu</w:t>
      </w:r>
      <w:r w:rsidR="00163175" w:rsidRPr="00FD1DC0">
        <w:rPr>
          <w:rFonts w:ascii="Times New Roman" w:hAnsi="Times New Roman" w:cs="Times New Roman"/>
          <w:lang w:val="es-BO"/>
        </w:rPr>
        <w:t>estra en las gráficas 2.13 y 2.14</w:t>
      </w:r>
      <w:r w:rsidR="00467731" w:rsidRPr="00FD1DC0">
        <w:rPr>
          <w:rFonts w:ascii="Times New Roman" w:hAnsi="Times New Roman" w:cs="Times New Roman"/>
          <w:lang w:val="es-BO"/>
        </w:rPr>
        <w:t>. Por otro lado, la sobre</w:t>
      </w:r>
      <w:r w:rsidRPr="00FD1DC0">
        <w:rPr>
          <w:rFonts w:ascii="Times New Roman" w:hAnsi="Times New Roman" w:cs="Times New Roman"/>
          <w:lang w:val="es-BO"/>
        </w:rPr>
        <w:t>acumulación</w:t>
      </w:r>
      <w:r w:rsidR="00467731" w:rsidRPr="00FD1DC0">
        <w:rPr>
          <w:rFonts w:ascii="Times New Roman" w:hAnsi="Times New Roman" w:cs="Times New Roman"/>
          <w:lang w:val="es-BO"/>
        </w:rPr>
        <w:t xml:space="preserve"> exacerbada de </w:t>
      </w:r>
      <w:r w:rsidRPr="00FD1DC0">
        <w:rPr>
          <w:rFonts w:ascii="Times New Roman" w:hAnsi="Times New Roman" w:cs="Times New Roman"/>
          <w:lang w:val="es-BO"/>
        </w:rPr>
        <w:t>reservas internacionales</w:t>
      </w:r>
      <w:r w:rsidR="00467731" w:rsidRPr="00FD1DC0">
        <w:rPr>
          <w:rFonts w:ascii="Times New Roman" w:hAnsi="Times New Roman" w:cs="Times New Roman"/>
          <w:lang w:val="es-BO"/>
        </w:rPr>
        <w:t xml:space="preserve"> (RIN)</w:t>
      </w:r>
      <w:r w:rsidRPr="00FD1DC0">
        <w:rPr>
          <w:rFonts w:ascii="Times New Roman" w:hAnsi="Times New Roman" w:cs="Times New Roman"/>
          <w:lang w:val="es-BO"/>
        </w:rPr>
        <w:t xml:space="preserve"> </w:t>
      </w:r>
      <w:r w:rsidR="00467731" w:rsidRPr="00FD1DC0">
        <w:rPr>
          <w:rFonts w:ascii="Times New Roman" w:hAnsi="Times New Roman" w:cs="Times New Roman"/>
          <w:lang w:val="es-BO"/>
        </w:rPr>
        <w:t xml:space="preserve">puede provocar </w:t>
      </w:r>
      <w:r w:rsidRPr="00FD1DC0">
        <w:rPr>
          <w:rFonts w:ascii="Times New Roman" w:hAnsi="Times New Roman" w:cs="Times New Roman"/>
          <w:lang w:val="es-BO"/>
        </w:rPr>
        <w:t>pérdidas</w:t>
      </w:r>
      <w:r w:rsidR="00467731" w:rsidRPr="00FD1DC0">
        <w:rPr>
          <w:rFonts w:ascii="Times New Roman" w:hAnsi="Times New Roman" w:cs="Times New Roman"/>
          <w:lang w:val="es-BO"/>
        </w:rPr>
        <w:t xml:space="preserve"> de índole financiero</w:t>
      </w:r>
      <w:r w:rsidRPr="00FD1DC0">
        <w:rPr>
          <w:rFonts w:ascii="Times New Roman" w:hAnsi="Times New Roman" w:cs="Times New Roman"/>
          <w:lang w:val="es-BO"/>
        </w:rPr>
        <w:t xml:space="preserve"> al Banco de México</w:t>
      </w:r>
      <w:r w:rsidR="00467731" w:rsidRPr="00FD1DC0">
        <w:rPr>
          <w:rFonts w:ascii="Times New Roman" w:hAnsi="Times New Roman" w:cs="Times New Roman"/>
          <w:lang w:val="es-BO"/>
        </w:rPr>
        <w:t xml:space="preserve"> y al Banco Central de Brasil</w:t>
      </w:r>
      <w:r w:rsidRPr="00FD1DC0">
        <w:rPr>
          <w:rFonts w:ascii="Times New Roman" w:hAnsi="Times New Roman" w:cs="Times New Roman"/>
          <w:lang w:val="es-BO"/>
        </w:rPr>
        <w:t xml:space="preserve">, </w:t>
      </w:r>
      <w:r w:rsidR="00467731" w:rsidRPr="00FD1DC0">
        <w:rPr>
          <w:rFonts w:ascii="Times New Roman" w:hAnsi="Times New Roman" w:cs="Times New Roman"/>
          <w:lang w:val="es-BO"/>
        </w:rPr>
        <w:t>debido a</w:t>
      </w:r>
      <w:r w:rsidRPr="00FD1DC0">
        <w:rPr>
          <w:rFonts w:ascii="Times New Roman" w:hAnsi="Times New Roman" w:cs="Times New Roman"/>
          <w:lang w:val="es-BO"/>
        </w:rPr>
        <w:t>l elevado diferencial entre la rentabilidad de sus obligaciones en tí</w:t>
      </w:r>
      <w:r w:rsidR="00467731" w:rsidRPr="00FD1DC0">
        <w:rPr>
          <w:rFonts w:ascii="Times New Roman" w:hAnsi="Times New Roman" w:cs="Times New Roman"/>
          <w:lang w:val="es-BO"/>
        </w:rPr>
        <w:t xml:space="preserve">tulos del Tesoro de Estados Unidos (tasas de interés </w:t>
      </w:r>
      <w:r w:rsidRPr="00FD1DC0">
        <w:rPr>
          <w:rFonts w:ascii="Times New Roman" w:hAnsi="Times New Roman" w:cs="Times New Roman"/>
          <w:lang w:val="es-BO"/>
        </w:rPr>
        <w:t>bajas) y sus</w:t>
      </w:r>
      <w:r w:rsidR="00467731" w:rsidRPr="00FD1DC0">
        <w:rPr>
          <w:rFonts w:ascii="Times New Roman" w:hAnsi="Times New Roman" w:cs="Times New Roman"/>
          <w:lang w:val="es-BO"/>
        </w:rPr>
        <w:t xml:space="preserve"> obligaciones internas (</w:t>
      </w:r>
      <w:r w:rsidRPr="00FD1DC0">
        <w:rPr>
          <w:rFonts w:ascii="Times New Roman" w:hAnsi="Times New Roman" w:cs="Times New Roman"/>
          <w:lang w:val="es-BO"/>
        </w:rPr>
        <w:t xml:space="preserve">tasas </w:t>
      </w:r>
      <w:r w:rsidR="00467731" w:rsidRPr="00FD1DC0">
        <w:rPr>
          <w:rFonts w:ascii="Times New Roman" w:hAnsi="Times New Roman" w:cs="Times New Roman"/>
          <w:lang w:val="es-BO"/>
        </w:rPr>
        <w:t>de interés domésticas altas) (López, Mántey y Panico, 2013).</w:t>
      </w:r>
    </w:p>
    <w:p w14:paraId="6A38D4FC" w14:textId="77777777" w:rsidR="006846B6" w:rsidRDefault="006846B6" w:rsidP="00A742B6">
      <w:pPr>
        <w:spacing w:after="0" w:line="240" w:lineRule="auto"/>
        <w:ind w:left="62" w:right="533" w:hanging="11"/>
        <w:jc w:val="center"/>
        <w:rPr>
          <w:rFonts w:ascii="Times New Roman" w:hAnsi="Times New Roman" w:cs="Times New Roman"/>
          <w:b/>
          <w:lang w:val="es-BO"/>
        </w:rPr>
      </w:pPr>
    </w:p>
    <w:p w14:paraId="729A5EC1" w14:textId="77777777" w:rsidR="006846B6" w:rsidRDefault="006846B6" w:rsidP="00A742B6">
      <w:pPr>
        <w:spacing w:after="0" w:line="240" w:lineRule="auto"/>
        <w:ind w:left="62" w:right="533" w:hanging="11"/>
        <w:jc w:val="center"/>
        <w:rPr>
          <w:rFonts w:ascii="Times New Roman" w:hAnsi="Times New Roman" w:cs="Times New Roman"/>
          <w:b/>
          <w:lang w:val="es-BO"/>
        </w:rPr>
      </w:pPr>
    </w:p>
    <w:p w14:paraId="0FF93344" w14:textId="77777777" w:rsidR="006846B6" w:rsidRDefault="006846B6" w:rsidP="00A742B6">
      <w:pPr>
        <w:spacing w:after="0" w:line="240" w:lineRule="auto"/>
        <w:ind w:left="62" w:right="533" w:hanging="11"/>
        <w:jc w:val="center"/>
        <w:rPr>
          <w:rFonts w:ascii="Times New Roman" w:hAnsi="Times New Roman" w:cs="Times New Roman"/>
          <w:b/>
          <w:lang w:val="es-BO"/>
        </w:rPr>
      </w:pPr>
    </w:p>
    <w:p w14:paraId="0118D121" w14:textId="77777777" w:rsidR="006846B6" w:rsidRDefault="006846B6" w:rsidP="00A742B6">
      <w:pPr>
        <w:spacing w:after="0" w:line="240" w:lineRule="auto"/>
        <w:ind w:left="62" w:right="533" w:hanging="11"/>
        <w:jc w:val="center"/>
        <w:rPr>
          <w:rFonts w:ascii="Times New Roman" w:hAnsi="Times New Roman" w:cs="Times New Roman"/>
          <w:b/>
          <w:lang w:val="es-BO"/>
        </w:rPr>
      </w:pPr>
    </w:p>
    <w:p w14:paraId="701790C4" w14:textId="63F9CC20" w:rsidR="00A742B6" w:rsidRPr="00FD1DC0" w:rsidRDefault="00A742B6" w:rsidP="00A742B6">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E02164" w:rsidRPr="00FD1DC0">
        <w:rPr>
          <w:rFonts w:ascii="Times New Roman" w:hAnsi="Times New Roman" w:cs="Times New Roman"/>
          <w:b/>
          <w:lang w:val="es-BO"/>
        </w:rPr>
        <w:t>áfica 2.</w:t>
      </w:r>
      <w:r w:rsidR="00163175" w:rsidRPr="00FD1DC0">
        <w:rPr>
          <w:rFonts w:ascii="Times New Roman" w:hAnsi="Times New Roman" w:cs="Times New Roman"/>
          <w:b/>
          <w:lang w:val="es-BO"/>
        </w:rPr>
        <w:t>14</w:t>
      </w:r>
      <w:r w:rsidRPr="00FD1DC0">
        <w:rPr>
          <w:rFonts w:ascii="Times New Roman" w:hAnsi="Times New Roman" w:cs="Times New Roman"/>
          <w:b/>
          <w:lang w:val="es-BO"/>
        </w:rPr>
        <w:t xml:space="preserve"> México y Brasil Crecimiento Económico e Inflación</w:t>
      </w:r>
    </w:p>
    <w:p w14:paraId="5319A3B7" w14:textId="77777777" w:rsidR="00A742B6" w:rsidRPr="00FD1DC0" w:rsidRDefault="00A742B6" w:rsidP="00A742B6">
      <w:pPr>
        <w:spacing w:after="0" w:line="240" w:lineRule="auto"/>
        <w:ind w:left="0" w:right="0" w:firstLine="0"/>
        <w:jc w:val="center"/>
        <w:rPr>
          <w:b/>
          <w:lang w:val="es-BO"/>
        </w:rPr>
      </w:pPr>
      <w:r w:rsidRPr="00FD1DC0">
        <w:rPr>
          <w:b/>
          <w:noProof/>
        </w:rPr>
        <w:drawing>
          <wp:inline distT="0" distB="0" distL="0" distR="0" wp14:anchorId="653472E3" wp14:editId="76AB0BD9">
            <wp:extent cx="4878977" cy="2204113"/>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495" cy="2224225"/>
                    </a:xfrm>
                    <a:prstGeom prst="rect">
                      <a:avLst/>
                    </a:prstGeom>
                    <a:noFill/>
                    <a:ln>
                      <a:noFill/>
                    </a:ln>
                  </pic:spPr>
                </pic:pic>
              </a:graphicData>
            </a:graphic>
          </wp:inline>
        </w:drawing>
      </w:r>
    </w:p>
    <w:p w14:paraId="1337508B" w14:textId="376F92B4" w:rsidR="00C95DA1" w:rsidRPr="00FD1DC0" w:rsidRDefault="00A742B6" w:rsidP="006A18A7">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DD77D2" w:rsidRPr="00FD1DC0">
        <w:rPr>
          <w:sz w:val="16"/>
          <w:szCs w:val="16"/>
          <w:lang w:val="es-BO"/>
        </w:rPr>
        <w:t>FMI</w:t>
      </w:r>
    </w:p>
    <w:p w14:paraId="5B181F9E" w14:textId="75C2D853" w:rsidR="00A742B6" w:rsidRPr="00FD1DC0" w:rsidRDefault="00155BC2" w:rsidP="00A742B6">
      <w:pPr>
        <w:spacing w:after="225" w:line="259" w:lineRule="auto"/>
        <w:ind w:left="0" w:right="0" w:firstLine="0"/>
        <w:jc w:val="left"/>
        <w:rPr>
          <w:b/>
          <w:lang w:val="es-BO"/>
        </w:rPr>
      </w:pPr>
      <w:r>
        <w:rPr>
          <w:b/>
          <w:lang w:val="es-BO"/>
        </w:rPr>
        <w:t>2.3</w:t>
      </w:r>
      <w:r w:rsidR="00A742B6" w:rsidRPr="00FD1DC0">
        <w:rPr>
          <w:b/>
          <w:lang w:val="es-BO"/>
        </w:rPr>
        <w:t xml:space="preserve"> Miedo a Flotar y las Intervenciones en el Mercado Cambiario</w:t>
      </w:r>
    </w:p>
    <w:p w14:paraId="557C0B9C" w14:textId="1523BCB1" w:rsidR="006A18A7" w:rsidRPr="00FD1DC0" w:rsidRDefault="008931D6" w:rsidP="00163175">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la gráfica 2</w:t>
      </w:r>
      <w:r w:rsidR="00E021B9" w:rsidRPr="00FD1DC0">
        <w:rPr>
          <w:rFonts w:ascii="Times New Roman" w:hAnsi="Times New Roman" w:cs="Times New Roman"/>
          <w:lang w:val="es-BO"/>
        </w:rPr>
        <w:t>.15</w:t>
      </w:r>
      <w:r w:rsidRPr="00FD1DC0">
        <w:rPr>
          <w:rFonts w:ascii="Times New Roman" w:hAnsi="Times New Roman" w:cs="Times New Roman"/>
          <w:lang w:val="es-BO"/>
        </w:rPr>
        <w:t xml:space="preserve"> se muestra el comportamiento grafico de las reservas internacionales (RIN) y la tasa de inflación de México y Brasil (Inf), podemos advertir que a lo largo del tiempo las cuatro series económicas tienen un comportamiento parecido. Por ejemplo, las RIN de ambos países tienden a aumentar con el paso del tiempo y por su parte las tasas de inflación tienden a estar en torno al objetivo de inflación y además e</w:t>
      </w:r>
      <w:r w:rsidR="00B24DFB" w:rsidRPr="00FD1DC0">
        <w:rPr>
          <w:rFonts w:ascii="Times New Roman" w:hAnsi="Times New Roman" w:cs="Times New Roman"/>
          <w:lang w:val="es-BO"/>
        </w:rPr>
        <w:t>s</w:t>
      </w:r>
      <w:r w:rsidRPr="00FD1DC0">
        <w:rPr>
          <w:rFonts w:ascii="Times New Roman" w:hAnsi="Times New Roman" w:cs="Times New Roman"/>
          <w:lang w:val="es-BO"/>
        </w:rPr>
        <w:t xml:space="preserve"> claro que las cuatro series económicas guardan una relación de equilibrio o de largo plazo entre las mismas, lo que se conoce comúnmente como series cointegradas. </w:t>
      </w:r>
    </w:p>
    <w:p w14:paraId="5B38BFCD" w14:textId="3E664642" w:rsidR="00384FBE" w:rsidRPr="00FD1DC0" w:rsidRDefault="00384FBE" w:rsidP="00384FBE">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E02164" w:rsidRPr="00FD1DC0">
        <w:rPr>
          <w:rFonts w:ascii="Times New Roman" w:hAnsi="Times New Roman" w:cs="Times New Roman"/>
          <w:b/>
          <w:lang w:val="es-BO"/>
        </w:rPr>
        <w:t>áfica 2.</w:t>
      </w:r>
      <w:r w:rsidR="00163175" w:rsidRPr="00FD1DC0">
        <w:rPr>
          <w:rFonts w:ascii="Times New Roman" w:hAnsi="Times New Roman" w:cs="Times New Roman"/>
          <w:b/>
          <w:lang w:val="es-BO"/>
        </w:rPr>
        <w:t>15</w:t>
      </w:r>
      <w:r w:rsidRPr="00FD1DC0">
        <w:rPr>
          <w:rFonts w:ascii="Times New Roman" w:hAnsi="Times New Roman" w:cs="Times New Roman"/>
          <w:b/>
          <w:lang w:val="es-BO"/>
        </w:rPr>
        <w:t xml:space="preserve"> México y Brasil </w:t>
      </w:r>
      <w:r w:rsidR="00A54EE6" w:rsidRPr="00FD1DC0">
        <w:rPr>
          <w:rFonts w:ascii="Times New Roman" w:hAnsi="Times New Roman" w:cs="Times New Roman"/>
          <w:b/>
          <w:lang w:val="es-BO"/>
        </w:rPr>
        <w:t xml:space="preserve">Reservas Internacionales </w:t>
      </w:r>
      <w:r w:rsidRPr="00FD1DC0">
        <w:rPr>
          <w:rFonts w:ascii="Times New Roman" w:hAnsi="Times New Roman" w:cs="Times New Roman"/>
          <w:b/>
          <w:lang w:val="es-BO"/>
        </w:rPr>
        <w:t>e Inflación</w:t>
      </w:r>
    </w:p>
    <w:p w14:paraId="2B22FE74" w14:textId="2A72B677" w:rsidR="00384FBE" w:rsidRPr="00FD1DC0" w:rsidRDefault="00A54EE6" w:rsidP="00384FBE">
      <w:pPr>
        <w:spacing w:after="0" w:line="240" w:lineRule="auto"/>
        <w:ind w:left="0" w:right="0" w:firstLine="0"/>
        <w:jc w:val="center"/>
        <w:rPr>
          <w:b/>
          <w:lang w:val="es-BO"/>
        </w:rPr>
      </w:pPr>
      <w:r w:rsidRPr="00FD1DC0">
        <w:rPr>
          <w:b/>
          <w:noProof/>
        </w:rPr>
        <w:drawing>
          <wp:inline distT="0" distB="0" distL="0" distR="0" wp14:anchorId="3D974957" wp14:editId="340D07B9">
            <wp:extent cx="5023180" cy="223198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2888" cy="2249631"/>
                    </a:xfrm>
                    <a:prstGeom prst="rect">
                      <a:avLst/>
                    </a:prstGeom>
                    <a:noFill/>
                    <a:ln>
                      <a:noFill/>
                    </a:ln>
                  </pic:spPr>
                </pic:pic>
              </a:graphicData>
            </a:graphic>
          </wp:inline>
        </w:drawing>
      </w:r>
    </w:p>
    <w:p w14:paraId="212093D3" w14:textId="5EA9069B" w:rsidR="00384FBE" w:rsidRPr="00FD1DC0" w:rsidRDefault="00384FBE" w:rsidP="00384FBE">
      <w:pPr>
        <w:spacing w:after="0" w:line="240" w:lineRule="auto"/>
        <w:ind w:left="0" w:right="0" w:firstLine="0"/>
        <w:jc w:val="center"/>
        <w:rPr>
          <w:sz w:val="16"/>
          <w:szCs w:val="16"/>
          <w:lang w:val="es-BO"/>
        </w:rPr>
      </w:pPr>
      <w:r w:rsidRPr="00FD1DC0">
        <w:rPr>
          <w:sz w:val="16"/>
          <w:szCs w:val="16"/>
          <w:lang w:val="es-BO"/>
        </w:rPr>
        <w:t xml:space="preserve">Fuente: Elaboración Propia con base a datos del </w:t>
      </w:r>
      <w:r w:rsidR="00DD77D2" w:rsidRPr="00FD1DC0">
        <w:rPr>
          <w:sz w:val="16"/>
          <w:szCs w:val="16"/>
          <w:lang w:val="es-BO"/>
        </w:rPr>
        <w:t>FMI</w:t>
      </w:r>
    </w:p>
    <w:p w14:paraId="4A7FAE4C" w14:textId="5A80062E" w:rsidR="00A742B6" w:rsidRPr="00FD1DC0" w:rsidRDefault="00F32FED" w:rsidP="00F32FED">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En esa </w:t>
      </w:r>
      <w:r w:rsidR="00A15660" w:rsidRPr="00FD1DC0">
        <w:rPr>
          <w:rFonts w:ascii="Times New Roman" w:hAnsi="Times New Roman" w:cs="Times New Roman"/>
          <w:lang w:val="es-BO"/>
        </w:rPr>
        <w:t>línea</w:t>
      </w:r>
      <w:r w:rsidRPr="00FD1DC0">
        <w:rPr>
          <w:rFonts w:ascii="Times New Roman" w:hAnsi="Times New Roman" w:cs="Times New Roman"/>
          <w:lang w:val="es-BO"/>
        </w:rPr>
        <w:t>, Guillermo Calvo y Carmen Reinhart (2002) señal</w:t>
      </w:r>
      <w:r w:rsidR="006377AC" w:rsidRPr="00FD1DC0">
        <w:rPr>
          <w:rFonts w:ascii="Times New Roman" w:hAnsi="Times New Roman" w:cs="Times New Roman"/>
          <w:lang w:val="es-BO"/>
        </w:rPr>
        <w:t>an</w:t>
      </w:r>
      <w:r w:rsidRPr="00FD1DC0">
        <w:rPr>
          <w:rFonts w:ascii="Times New Roman" w:hAnsi="Times New Roman" w:cs="Times New Roman"/>
          <w:lang w:val="es-BO"/>
        </w:rPr>
        <w:t xml:space="preserve"> en respuesta a Obtsfeld y Roggoff, el espejismo de los regímenes cambiarios flotantes utilizando el concepto de credibilidad.</w:t>
      </w:r>
      <w:r w:rsidR="00D53E9B" w:rsidRPr="00FD1DC0">
        <w:rPr>
          <w:rFonts w:ascii="Times New Roman" w:hAnsi="Times New Roman" w:cs="Times New Roman"/>
          <w:lang w:val="es-BO"/>
        </w:rPr>
        <w:t xml:space="preserve"> </w:t>
      </w:r>
      <w:r w:rsidRPr="00FD1DC0">
        <w:rPr>
          <w:rFonts w:ascii="Times New Roman" w:hAnsi="Times New Roman" w:cs="Times New Roman"/>
          <w:lang w:val="es-BO"/>
        </w:rPr>
        <w:t xml:space="preserve">El compromiso de los bancos centrales con respecto a su política cambiaria, combinado con otras vulnerabilidades, dio origen a la conocida hipótesis del Temor a flotar, la cual admite que “las naciones tienden a preocuparse por el nivel de su tipo de cambio, </w:t>
      </w:r>
      <w:r w:rsidR="00A15660" w:rsidRPr="00FD1DC0">
        <w:rPr>
          <w:rFonts w:ascii="Times New Roman" w:hAnsi="Times New Roman" w:cs="Times New Roman"/>
          <w:lang w:val="es-BO"/>
        </w:rPr>
        <w:t>y,</w:t>
      </w:r>
      <w:r w:rsidRPr="00FD1DC0">
        <w:rPr>
          <w:rFonts w:ascii="Times New Roman" w:hAnsi="Times New Roman" w:cs="Times New Roman"/>
          <w:lang w:val="es-BO"/>
        </w:rPr>
        <w:t xml:space="preserve"> por lo tanto, no están dispuestas a aceptar las fluctuaciones generadas por una flotación totalmente libre” (Calvo y Reinhart</w:t>
      </w:r>
      <w:r w:rsidR="00A15660" w:rsidRPr="00FD1DC0">
        <w:rPr>
          <w:rFonts w:ascii="Times New Roman" w:hAnsi="Times New Roman" w:cs="Times New Roman"/>
          <w:lang w:val="es-BO"/>
        </w:rPr>
        <w:t>,</w:t>
      </w:r>
      <w:r w:rsidRPr="00FD1DC0">
        <w:rPr>
          <w:rFonts w:ascii="Times New Roman" w:hAnsi="Times New Roman" w:cs="Times New Roman"/>
          <w:lang w:val="es-BO"/>
        </w:rPr>
        <w:t xml:space="preserve"> 2002)</w:t>
      </w:r>
      <w:r w:rsidR="00A15660" w:rsidRPr="00FD1DC0">
        <w:rPr>
          <w:rFonts w:ascii="Times New Roman" w:hAnsi="Times New Roman" w:cs="Times New Roman"/>
          <w:lang w:val="es-BO"/>
        </w:rPr>
        <w:t>.</w:t>
      </w:r>
    </w:p>
    <w:p w14:paraId="10117E2B" w14:textId="5D291702" w:rsidR="006962B0" w:rsidRPr="00FD1DC0" w:rsidRDefault="00361153" w:rsidP="007E2782">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Así, muchos países entre los cuales incluimos México y Brasil en realidad no permiten su libre flotación, afectan el comportamiento de su moneda con políticas intervencionistas utilizando las tasas de interés y las reservas internacionales, sobre todo en las economías emergentes (EE). Por tal motivo las</w:t>
      </w:r>
      <w:r w:rsidR="00D53E9B" w:rsidRPr="00FD1DC0">
        <w:rPr>
          <w:rFonts w:ascii="Times New Roman" w:hAnsi="Times New Roman" w:cs="Times New Roman"/>
          <w:lang w:val="es-BO"/>
        </w:rPr>
        <w:t xml:space="preserve"> </w:t>
      </w:r>
      <w:r w:rsidRPr="00FD1DC0">
        <w:rPr>
          <w:rFonts w:ascii="Times New Roman" w:hAnsi="Times New Roman" w:cs="Times New Roman"/>
          <w:lang w:val="es-BO"/>
        </w:rPr>
        <w:t>EE son mayormente vulnerables a los choques externos, derivado de la falta de credibilidad de los bancos centrales y el elevado nivel de traspaso del tipo de cambio a los precios (</w:t>
      </w:r>
      <w:r w:rsidRPr="00FD1DC0">
        <w:rPr>
          <w:rFonts w:ascii="Times New Roman" w:hAnsi="Times New Roman" w:cs="Times New Roman"/>
          <w:i/>
          <w:lang w:val="es-BO"/>
        </w:rPr>
        <w:t>passthrough</w:t>
      </w:r>
      <w:r w:rsidRPr="00FD1DC0">
        <w:rPr>
          <w:rFonts w:ascii="Times New Roman" w:hAnsi="Times New Roman" w:cs="Times New Roman"/>
          <w:lang w:val="es-BO"/>
        </w:rPr>
        <w:t>) por la alta dependencia a las importacio</w:t>
      </w:r>
      <w:r w:rsidR="00106585" w:rsidRPr="00FD1DC0">
        <w:rPr>
          <w:rFonts w:ascii="Times New Roman" w:hAnsi="Times New Roman" w:cs="Times New Roman"/>
          <w:lang w:val="es-BO"/>
        </w:rPr>
        <w:t>nes.</w:t>
      </w:r>
    </w:p>
    <w:p w14:paraId="5C6FD903" w14:textId="7C0DA756" w:rsidR="00DA3B35" w:rsidRPr="00FD1DC0" w:rsidRDefault="00D0460A" w:rsidP="0064611B">
      <w:pPr>
        <w:spacing w:after="225" w:line="259" w:lineRule="auto"/>
        <w:ind w:left="0" w:right="0" w:firstLine="0"/>
        <w:jc w:val="left"/>
        <w:rPr>
          <w:b/>
          <w:lang w:val="es-BO"/>
        </w:rPr>
      </w:pPr>
      <w:r>
        <w:rPr>
          <w:b/>
          <w:lang w:val="es-BO"/>
        </w:rPr>
        <w:t>2.</w:t>
      </w:r>
      <w:r w:rsidR="00155BC2">
        <w:rPr>
          <w:b/>
          <w:lang w:val="es-BO"/>
        </w:rPr>
        <w:t>4</w:t>
      </w:r>
      <w:r w:rsidR="00DA3B35" w:rsidRPr="00FD1DC0">
        <w:rPr>
          <w:b/>
          <w:lang w:val="es-BO"/>
        </w:rPr>
        <w:t xml:space="preserve"> Sobreacumulación de Divisas y la Apreciación del Tipo de Cambio Real</w:t>
      </w:r>
      <w:r w:rsidR="000E4CB0" w:rsidRPr="00FD1DC0">
        <w:rPr>
          <w:b/>
          <w:lang w:val="es-BO"/>
        </w:rPr>
        <w:t xml:space="preserve"> en México y Brasil</w:t>
      </w:r>
    </w:p>
    <w:p w14:paraId="295FECC4" w14:textId="63DAD221" w:rsidR="004755F4" w:rsidRPr="00FD1DC0" w:rsidRDefault="004755F4" w:rsidP="0064611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la gráfica 2.</w:t>
      </w:r>
      <w:r w:rsidR="00434CA9" w:rsidRPr="00FD1DC0">
        <w:rPr>
          <w:rFonts w:ascii="Times New Roman" w:hAnsi="Times New Roman" w:cs="Times New Roman"/>
          <w:lang w:val="es-BO"/>
        </w:rPr>
        <w:t>16</w:t>
      </w:r>
      <w:r w:rsidRPr="00FD1DC0">
        <w:rPr>
          <w:rFonts w:ascii="Times New Roman" w:hAnsi="Times New Roman" w:cs="Times New Roman"/>
          <w:lang w:val="es-BO"/>
        </w:rPr>
        <w:t xml:space="preserve"> se muestra el comportamiento de las reservas internacionales (RIN)</w:t>
      </w:r>
      <w:r w:rsidR="00787173" w:rsidRPr="00FD1DC0">
        <w:rPr>
          <w:rFonts w:ascii="Times New Roman" w:hAnsi="Times New Roman" w:cs="Times New Roman"/>
          <w:lang w:val="es-BO"/>
        </w:rPr>
        <w:t xml:space="preserve"> y el índice de tipo de cambio real </w:t>
      </w:r>
      <w:r w:rsidRPr="00FD1DC0">
        <w:rPr>
          <w:rFonts w:ascii="Times New Roman" w:hAnsi="Times New Roman" w:cs="Times New Roman"/>
          <w:lang w:val="es-BO"/>
        </w:rPr>
        <w:t>de México y Brasil</w:t>
      </w:r>
      <w:r w:rsidR="00787173" w:rsidRPr="00FD1DC0">
        <w:rPr>
          <w:rFonts w:ascii="Times New Roman" w:hAnsi="Times New Roman" w:cs="Times New Roman"/>
          <w:lang w:val="es-BO"/>
        </w:rPr>
        <w:t xml:space="preserve"> (ITRE</w:t>
      </w:r>
      <w:r w:rsidRPr="00FD1DC0">
        <w:rPr>
          <w:rFonts w:ascii="Times New Roman" w:hAnsi="Times New Roman" w:cs="Times New Roman"/>
          <w:lang w:val="es-BO"/>
        </w:rPr>
        <w:t xml:space="preserve">), </w:t>
      </w:r>
      <w:r w:rsidR="00F329D8" w:rsidRPr="00FD1DC0">
        <w:rPr>
          <w:rFonts w:ascii="Times New Roman" w:hAnsi="Times New Roman" w:cs="Times New Roman"/>
          <w:lang w:val="es-BO"/>
        </w:rPr>
        <w:t xml:space="preserve">por un lado, </w:t>
      </w:r>
      <w:r w:rsidRPr="00FD1DC0">
        <w:rPr>
          <w:rFonts w:ascii="Times New Roman" w:hAnsi="Times New Roman" w:cs="Times New Roman"/>
          <w:lang w:val="es-BO"/>
        </w:rPr>
        <w:t xml:space="preserve">las RIN de ambos países </w:t>
      </w:r>
      <w:r w:rsidR="00F329D8" w:rsidRPr="00FD1DC0">
        <w:rPr>
          <w:rFonts w:ascii="Times New Roman" w:hAnsi="Times New Roman" w:cs="Times New Roman"/>
          <w:lang w:val="es-BO"/>
        </w:rPr>
        <w:t>tienden a aumentar, por su parte los índices del tipo de cambio real a partir del 2006 en adelante tienden</w:t>
      </w:r>
      <w:r w:rsidRPr="00FD1DC0">
        <w:rPr>
          <w:rFonts w:ascii="Times New Roman" w:hAnsi="Times New Roman" w:cs="Times New Roman"/>
          <w:lang w:val="es-BO"/>
        </w:rPr>
        <w:t xml:space="preserve"> </w:t>
      </w:r>
      <w:r w:rsidR="00F329D8" w:rsidRPr="00FD1DC0">
        <w:rPr>
          <w:rFonts w:ascii="Times New Roman" w:hAnsi="Times New Roman" w:cs="Times New Roman"/>
          <w:lang w:val="es-BO"/>
        </w:rPr>
        <w:t>a apreciarse</w:t>
      </w:r>
      <w:r w:rsidRPr="00FD1DC0">
        <w:rPr>
          <w:rFonts w:ascii="Times New Roman" w:hAnsi="Times New Roman" w:cs="Times New Roman"/>
          <w:lang w:val="es-BO"/>
        </w:rPr>
        <w:t xml:space="preserve">. </w:t>
      </w:r>
    </w:p>
    <w:p w14:paraId="7C0834B3" w14:textId="7E6B54C0" w:rsidR="00D83835" w:rsidRPr="00FD1DC0" w:rsidRDefault="00D83835" w:rsidP="00D83835">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Por lo tanto, en México y Brasil, un común denominador en su instrumentación de política monetaria es la sobreacumulación de reservas internacionales y la reducción del crédito interno neto que generalmente otorga la autoridad monetaria al estado y la banca privada se ha convertido en uno de los principales instrumentos de política económica de estabilización de la base monetaria. Sin embargo, este mecanismo de manejo de política monetaria no ha podido evitar la apreciación del tipo de cambio real (López González, 2006).</w:t>
      </w:r>
    </w:p>
    <w:p w14:paraId="1186760A" w14:textId="17EA24F9" w:rsidR="001B5828" w:rsidRPr="00FD1DC0" w:rsidRDefault="00197755" w:rsidP="00197755">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Ahora si bien México y Brasil se destacan a la hora de aplicar el régimen ROI y de América Latina representan los dos países con un mayor crecimiento significativo a través del tiempo del volumen de reservas internacionales (de ahí la elección de estos dos </w:t>
      </w:r>
      <w:r w:rsidR="00D27905" w:rsidRPr="00FD1DC0">
        <w:rPr>
          <w:rFonts w:ascii="Times New Roman" w:hAnsi="Times New Roman" w:cs="Times New Roman"/>
          <w:lang w:val="es-BO"/>
        </w:rPr>
        <w:t>países</w:t>
      </w:r>
      <w:r w:rsidRPr="00FD1DC0">
        <w:rPr>
          <w:rFonts w:ascii="Times New Roman" w:hAnsi="Times New Roman" w:cs="Times New Roman"/>
          <w:lang w:val="es-BO"/>
        </w:rPr>
        <w:t xml:space="preserve"> para la presente tesis de investigación)</w:t>
      </w:r>
      <w:r w:rsidR="00D27905" w:rsidRPr="00FD1DC0">
        <w:rPr>
          <w:rFonts w:ascii="Times New Roman" w:hAnsi="Times New Roman" w:cs="Times New Roman"/>
          <w:lang w:val="es-BO"/>
        </w:rPr>
        <w:t xml:space="preserve"> </w:t>
      </w:r>
      <w:r w:rsidRPr="00FD1DC0">
        <w:rPr>
          <w:rFonts w:ascii="Times New Roman" w:hAnsi="Times New Roman" w:cs="Times New Roman"/>
          <w:lang w:val="es-BO"/>
        </w:rPr>
        <w:t>para poder intervenir en los mercados cambiarios</w:t>
      </w:r>
      <w:r w:rsidR="00D27905" w:rsidRPr="00FD1DC0">
        <w:rPr>
          <w:rFonts w:ascii="Times New Roman" w:hAnsi="Times New Roman" w:cs="Times New Roman"/>
          <w:lang w:val="es-BO"/>
        </w:rPr>
        <w:t xml:space="preserve">. </w:t>
      </w:r>
      <w:r w:rsidRPr="00FD1DC0">
        <w:rPr>
          <w:rFonts w:ascii="Times New Roman" w:hAnsi="Times New Roman" w:cs="Times New Roman"/>
          <w:lang w:val="es-BO"/>
        </w:rPr>
        <w:t xml:space="preserve">Sin embargo, </w:t>
      </w:r>
      <w:r w:rsidR="00D27905" w:rsidRPr="00FD1DC0">
        <w:rPr>
          <w:rFonts w:ascii="Times New Roman" w:hAnsi="Times New Roman" w:cs="Times New Roman"/>
          <w:lang w:val="es-BO"/>
        </w:rPr>
        <w:t xml:space="preserve">existe diferencias entre ambos </w:t>
      </w:r>
      <w:r w:rsidR="001B5828" w:rsidRPr="00FD1DC0">
        <w:rPr>
          <w:rFonts w:ascii="Times New Roman" w:hAnsi="Times New Roman" w:cs="Times New Roman"/>
          <w:lang w:val="es-BO"/>
        </w:rPr>
        <w:t>países</w:t>
      </w:r>
      <w:r w:rsidR="00D27905" w:rsidRPr="00FD1DC0">
        <w:rPr>
          <w:rFonts w:ascii="Times New Roman" w:hAnsi="Times New Roman" w:cs="Times New Roman"/>
          <w:lang w:val="es-BO"/>
        </w:rPr>
        <w:t xml:space="preserve"> sobre la estrategia de </w:t>
      </w:r>
      <w:r w:rsidRPr="00FD1DC0">
        <w:rPr>
          <w:rFonts w:ascii="Times New Roman" w:hAnsi="Times New Roman" w:cs="Times New Roman"/>
          <w:lang w:val="es-BO"/>
        </w:rPr>
        <w:t xml:space="preserve">acumulación de reservas internacionales y su respectiva </w:t>
      </w:r>
      <w:r w:rsidR="00D27905" w:rsidRPr="00FD1DC0">
        <w:rPr>
          <w:rFonts w:ascii="Times New Roman" w:hAnsi="Times New Roman" w:cs="Times New Roman"/>
          <w:lang w:val="es-BO"/>
        </w:rPr>
        <w:t>política</w:t>
      </w:r>
      <w:r w:rsidRPr="00FD1DC0">
        <w:rPr>
          <w:rFonts w:ascii="Times New Roman" w:hAnsi="Times New Roman" w:cs="Times New Roman"/>
          <w:lang w:val="es-BO"/>
        </w:rPr>
        <w:t xml:space="preserve"> cambiaria seguida por México y Brasil</w:t>
      </w:r>
      <w:r w:rsidR="00D27905" w:rsidRPr="00FD1DC0">
        <w:rPr>
          <w:rFonts w:ascii="Times New Roman" w:hAnsi="Times New Roman" w:cs="Times New Roman"/>
          <w:lang w:val="es-BO"/>
        </w:rPr>
        <w:t>. Si bien</w:t>
      </w:r>
      <w:r w:rsidRPr="00FD1DC0">
        <w:rPr>
          <w:rFonts w:ascii="Times New Roman" w:hAnsi="Times New Roman" w:cs="Times New Roman"/>
          <w:lang w:val="es-BO"/>
        </w:rPr>
        <w:t xml:space="preserve"> la mayoría</w:t>
      </w:r>
      <w:r w:rsidR="00D27905" w:rsidRPr="00FD1DC0">
        <w:rPr>
          <w:rFonts w:ascii="Times New Roman" w:hAnsi="Times New Roman" w:cs="Times New Roman"/>
          <w:lang w:val="es-BO"/>
        </w:rPr>
        <w:t xml:space="preserve"> de los economistas a nivel </w:t>
      </w:r>
      <w:r w:rsidR="001B5828" w:rsidRPr="00FD1DC0">
        <w:rPr>
          <w:rFonts w:ascii="Times New Roman" w:hAnsi="Times New Roman" w:cs="Times New Roman"/>
          <w:lang w:val="es-BO"/>
        </w:rPr>
        <w:t>latinoamericano</w:t>
      </w:r>
      <w:r w:rsidRPr="00FD1DC0">
        <w:rPr>
          <w:rFonts w:ascii="Times New Roman" w:hAnsi="Times New Roman" w:cs="Times New Roman"/>
          <w:lang w:val="es-BO"/>
        </w:rPr>
        <w:t xml:space="preserve"> probablemente clasificaría</w:t>
      </w:r>
      <w:r w:rsidR="001B5828" w:rsidRPr="00FD1DC0">
        <w:rPr>
          <w:rFonts w:ascii="Times New Roman" w:hAnsi="Times New Roman" w:cs="Times New Roman"/>
          <w:lang w:val="es-BO"/>
        </w:rPr>
        <w:t>n</w:t>
      </w:r>
      <w:r w:rsidRPr="00FD1DC0">
        <w:rPr>
          <w:rFonts w:ascii="Times New Roman" w:hAnsi="Times New Roman" w:cs="Times New Roman"/>
          <w:lang w:val="es-BO"/>
        </w:rPr>
        <w:t xml:space="preserve"> a ambas</w:t>
      </w:r>
      <w:r w:rsidR="00D27905" w:rsidRPr="00FD1DC0">
        <w:rPr>
          <w:rFonts w:ascii="Times New Roman" w:hAnsi="Times New Roman" w:cs="Times New Roman"/>
          <w:lang w:val="es-BO"/>
        </w:rPr>
        <w:t xml:space="preserve"> </w:t>
      </w:r>
      <w:r w:rsidR="001B5828" w:rsidRPr="00FD1DC0">
        <w:rPr>
          <w:rFonts w:ascii="Times New Roman" w:hAnsi="Times New Roman" w:cs="Times New Roman"/>
          <w:lang w:val="es-BO"/>
        </w:rPr>
        <w:t>economías</w:t>
      </w:r>
      <w:r w:rsidRPr="00FD1DC0">
        <w:rPr>
          <w:rFonts w:ascii="Times New Roman" w:hAnsi="Times New Roman" w:cs="Times New Roman"/>
          <w:lang w:val="es-BO"/>
        </w:rPr>
        <w:t xml:space="preserve"> como políticas</w:t>
      </w:r>
      <w:r w:rsidR="001B5828" w:rsidRPr="00FD1DC0">
        <w:rPr>
          <w:rFonts w:ascii="Times New Roman" w:hAnsi="Times New Roman" w:cs="Times New Roman"/>
          <w:lang w:val="es-BO"/>
        </w:rPr>
        <w:t xml:space="preserve"> cambiarias</w:t>
      </w:r>
      <w:r w:rsidRPr="00FD1DC0">
        <w:rPr>
          <w:rFonts w:ascii="Times New Roman" w:hAnsi="Times New Roman" w:cs="Times New Roman"/>
          <w:lang w:val="es-BO"/>
        </w:rPr>
        <w:t xml:space="preserve"> de fl</w:t>
      </w:r>
      <w:r w:rsidR="00D27905" w:rsidRPr="00FD1DC0">
        <w:rPr>
          <w:rFonts w:ascii="Times New Roman" w:hAnsi="Times New Roman" w:cs="Times New Roman"/>
          <w:lang w:val="es-BO"/>
        </w:rPr>
        <w:t>otación sucia o controlada (</w:t>
      </w:r>
      <w:r w:rsidRPr="00FD1DC0">
        <w:rPr>
          <w:rFonts w:ascii="Times New Roman" w:hAnsi="Times New Roman" w:cs="Times New Roman"/>
          <w:lang w:val="es-BO"/>
        </w:rPr>
        <w:t>Ilzetzki et al.</w:t>
      </w:r>
      <w:r w:rsidR="00E4729F" w:rsidRPr="00FD1DC0">
        <w:rPr>
          <w:rFonts w:ascii="Times New Roman" w:hAnsi="Times New Roman" w:cs="Times New Roman"/>
          <w:lang w:val="es-BO"/>
        </w:rPr>
        <w:t>, 2008 y</w:t>
      </w:r>
      <w:r w:rsidR="00D27905" w:rsidRPr="00FD1DC0">
        <w:rPr>
          <w:rFonts w:ascii="Times New Roman" w:hAnsi="Times New Roman" w:cs="Times New Roman"/>
          <w:lang w:val="es-BO"/>
        </w:rPr>
        <w:t xml:space="preserve"> Tobal, 2013)</w:t>
      </w:r>
      <w:r w:rsidR="001B5828" w:rsidRPr="00FD1DC0">
        <w:rPr>
          <w:rFonts w:ascii="Times New Roman" w:hAnsi="Times New Roman" w:cs="Times New Roman"/>
          <w:lang w:val="es-BO"/>
        </w:rPr>
        <w:t>, existiría marcadas diferencias</w:t>
      </w:r>
      <w:r w:rsidRPr="00FD1DC0">
        <w:rPr>
          <w:rFonts w:ascii="Times New Roman" w:hAnsi="Times New Roman" w:cs="Times New Roman"/>
          <w:lang w:val="es-BO"/>
        </w:rPr>
        <w:t xml:space="preserve"> entre las políticas</w:t>
      </w:r>
      <w:r w:rsidR="001B5828" w:rsidRPr="00FD1DC0">
        <w:rPr>
          <w:rFonts w:ascii="Times New Roman" w:hAnsi="Times New Roman" w:cs="Times New Roman"/>
          <w:lang w:val="es-BO"/>
        </w:rPr>
        <w:t xml:space="preserve"> monetario - cambiario</w:t>
      </w:r>
      <w:r w:rsidRPr="00FD1DC0">
        <w:rPr>
          <w:rFonts w:ascii="Times New Roman" w:hAnsi="Times New Roman" w:cs="Times New Roman"/>
          <w:lang w:val="es-BO"/>
        </w:rPr>
        <w:t xml:space="preserve"> llevadas a cabo por </w:t>
      </w:r>
      <w:r w:rsidR="001B5828" w:rsidRPr="00FD1DC0">
        <w:rPr>
          <w:rFonts w:ascii="Times New Roman" w:hAnsi="Times New Roman" w:cs="Times New Roman"/>
          <w:lang w:val="es-BO"/>
        </w:rPr>
        <w:t>ambos países</w:t>
      </w:r>
      <w:r w:rsidRPr="00FD1DC0">
        <w:rPr>
          <w:rFonts w:ascii="Times New Roman" w:hAnsi="Times New Roman" w:cs="Times New Roman"/>
          <w:lang w:val="es-BO"/>
        </w:rPr>
        <w:t xml:space="preserve">. </w:t>
      </w:r>
    </w:p>
    <w:p w14:paraId="451498B1" w14:textId="1BD5FD7B" w:rsidR="00772F55" w:rsidRPr="00FD1DC0" w:rsidRDefault="001B5828" w:rsidP="0064611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En el caso de Brasil </w:t>
      </w:r>
      <w:r w:rsidR="00197755" w:rsidRPr="00FD1DC0">
        <w:rPr>
          <w:rFonts w:ascii="Times New Roman" w:hAnsi="Times New Roman" w:cs="Times New Roman"/>
          <w:lang w:val="es-BO"/>
        </w:rPr>
        <w:t xml:space="preserve">la mayoría de las intervenciones </w:t>
      </w:r>
      <w:r w:rsidRPr="00FD1DC0">
        <w:rPr>
          <w:rFonts w:ascii="Times New Roman" w:hAnsi="Times New Roman" w:cs="Times New Roman"/>
          <w:lang w:val="es-BO"/>
        </w:rPr>
        <w:t xml:space="preserve">cambiarias han involucrado </w:t>
      </w:r>
      <w:r w:rsidR="00197755" w:rsidRPr="00FD1DC0">
        <w:rPr>
          <w:rFonts w:ascii="Times New Roman" w:hAnsi="Times New Roman" w:cs="Times New Roman"/>
          <w:lang w:val="es-BO"/>
        </w:rPr>
        <w:t xml:space="preserve">compras netas de dólares </w:t>
      </w:r>
      <w:r w:rsidRPr="00FD1DC0">
        <w:rPr>
          <w:rFonts w:ascii="Times New Roman" w:hAnsi="Times New Roman" w:cs="Times New Roman"/>
          <w:lang w:val="es-BO"/>
        </w:rPr>
        <w:t>y que las mismas se han llevado a cabo con una frecuencia aceptable. Con respecto a México</w:t>
      </w:r>
      <w:r w:rsidR="00197755" w:rsidRPr="00FD1DC0">
        <w:rPr>
          <w:rFonts w:ascii="Times New Roman" w:hAnsi="Times New Roman" w:cs="Times New Roman"/>
          <w:lang w:val="es-BO"/>
        </w:rPr>
        <w:t>, l</w:t>
      </w:r>
      <w:r w:rsidRPr="00FD1DC0">
        <w:rPr>
          <w:rFonts w:ascii="Times New Roman" w:hAnsi="Times New Roman" w:cs="Times New Roman"/>
          <w:lang w:val="es-BO"/>
        </w:rPr>
        <w:t xml:space="preserve">a mayoría de las intervenciones </w:t>
      </w:r>
      <w:r w:rsidR="00197755" w:rsidRPr="00FD1DC0">
        <w:rPr>
          <w:rFonts w:ascii="Times New Roman" w:hAnsi="Times New Roman" w:cs="Times New Roman"/>
          <w:lang w:val="es-BO"/>
        </w:rPr>
        <w:t>han involucrado ventas netas de dólares</w:t>
      </w:r>
      <w:r w:rsidRPr="00FD1DC0">
        <w:rPr>
          <w:rFonts w:ascii="Times New Roman" w:hAnsi="Times New Roman" w:cs="Times New Roman"/>
          <w:lang w:val="es-BO"/>
        </w:rPr>
        <w:t xml:space="preserve">, las cuales han sido mucho más </w:t>
      </w:r>
      <w:r w:rsidR="00197755" w:rsidRPr="00FD1DC0">
        <w:rPr>
          <w:rFonts w:ascii="Times New Roman" w:hAnsi="Times New Roman" w:cs="Times New Roman"/>
          <w:lang w:val="es-BO"/>
        </w:rPr>
        <w:t>esporádicas</w:t>
      </w:r>
      <w:r w:rsidRPr="00FD1DC0">
        <w:rPr>
          <w:rFonts w:ascii="Times New Roman" w:hAnsi="Times New Roman" w:cs="Times New Roman"/>
          <w:lang w:val="es-BO"/>
        </w:rPr>
        <w:t xml:space="preserve"> en el tiempo</w:t>
      </w:r>
      <w:r w:rsidR="00197755" w:rsidRPr="00FD1DC0">
        <w:rPr>
          <w:rFonts w:ascii="Times New Roman" w:hAnsi="Times New Roman" w:cs="Times New Roman"/>
          <w:lang w:val="es-BO"/>
        </w:rPr>
        <w:t xml:space="preserve"> (como consecuencia </w:t>
      </w:r>
      <w:r w:rsidRPr="00FD1DC0">
        <w:rPr>
          <w:rFonts w:ascii="Times New Roman" w:hAnsi="Times New Roman" w:cs="Times New Roman"/>
          <w:lang w:val="es-BO"/>
        </w:rPr>
        <w:t>de la crisis financiera de 2008</w:t>
      </w:r>
      <w:r w:rsidR="00197755" w:rsidRPr="00FD1DC0">
        <w:rPr>
          <w:rFonts w:ascii="Times New Roman" w:hAnsi="Times New Roman" w:cs="Times New Roman"/>
          <w:lang w:val="es-BO"/>
        </w:rPr>
        <w:t xml:space="preserve">). </w:t>
      </w:r>
      <w:r w:rsidRPr="00FD1DC0">
        <w:rPr>
          <w:rFonts w:ascii="Times New Roman" w:hAnsi="Times New Roman" w:cs="Times New Roman"/>
          <w:lang w:val="es-BO"/>
        </w:rPr>
        <w:t>Por otro lado</w:t>
      </w:r>
      <w:r w:rsidR="00197755" w:rsidRPr="00FD1DC0">
        <w:rPr>
          <w:rFonts w:ascii="Times New Roman" w:hAnsi="Times New Roman" w:cs="Times New Roman"/>
          <w:lang w:val="es-BO"/>
        </w:rPr>
        <w:t>, México ha seguido una regla preestablecida, Brasil ha intervenido</w:t>
      </w:r>
      <w:r w:rsidRPr="00FD1DC0">
        <w:rPr>
          <w:rFonts w:ascii="Times New Roman" w:hAnsi="Times New Roman" w:cs="Times New Roman"/>
          <w:lang w:val="es-BO"/>
        </w:rPr>
        <w:t xml:space="preserve"> en los mercados cambiarios</w:t>
      </w:r>
      <w:r w:rsidR="00197755" w:rsidRPr="00FD1DC0">
        <w:rPr>
          <w:rFonts w:ascii="Times New Roman" w:hAnsi="Times New Roman" w:cs="Times New Roman"/>
          <w:lang w:val="es-BO"/>
        </w:rPr>
        <w:t xml:space="preserve"> </w:t>
      </w:r>
      <w:r w:rsidRPr="00FD1DC0">
        <w:rPr>
          <w:rFonts w:ascii="Times New Roman" w:hAnsi="Times New Roman" w:cs="Times New Roman"/>
          <w:lang w:val="es-BO"/>
        </w:rPr>
        <w:t>en la mayoría de los casos</w:t>
      </w:r>
      <w:r w:rsidR="00197755" w:rsidRPr="00FD1DC0">
        <w:rPr>
          <w:rFonts w:ascii="Times New Roman" w:hAnsi="Times New Roman" w:cs="Times New Roman"/>
          <w:lang w:val="es-BO"/>
        </w:rPr>
        <w:t xml:space="preserve"> de </w:t>
      </w:r>
      <w:r w:rsidRPr="00FD1DC0">
        <w:rPr>
          <w:rFonts w:ascii="Times New Roman" w:hAnsi="Times New Roman" w:cs="Times New Roman"/>
          <w:lang w:val="es-BO"/>
        </w:rPr>
        <w:t>forma</w:t>
      </w:r>
      <w:r w:rsidR="00197755" w:rsidRPr="00FD1DC0">
        <w:rPr>
          <w:rFonts w:ascii="Times New Roman" w:hAnsi="Times New Roman" w:cs="Times New Roman"/>
          <w:lang w:val="es-BO"/>
        </w:rPr>
        <w:t xml:space="preserve"> di</w:t>
      </w:r>
      <w:r w:rsidRPr="00FD1DC0">
        <w:rPr>
          <w:rFonts w:ascii="Times New Roman" w:hAnsi="Times New Roman" w:cs="Times New Roman"/>
          <w:lang w:val="es-BO"/>
        </w:rPr>
        <w:t xml:space="preserve">screcional. </w:t>
      </w:r>
    </w:p>
    <w:p w14:paraId="3E06A013" w14:textId="7A2C8E76" w:rsidR="00A41E87" w:rsidRPr="00FD1DC0" w:rsidRDefault="00BB144F" w:rsidP="0064611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Queda claro que la sobre acumulación de reservas internacionales y </w:t>
      </w:r>
      <w:r w:rsidR="00B27223" w:rsidRPr="00FD1DC0">
        <w:rPr>
          <w:rFonts w:ascii="Times New Roman" w:hAnsi="Times New Roman" w:cs="Times New Roman"/>
          <w:lang w:val="es-BO"/>
        </w:rPr>
        <w:t xml:space="preserve">apreciación </w:t>
      </w:r>
      <w:r w:rsidRPr="00FD1DC0">
        <w:rPr>
          <w:rFonts w:ascii="Times New Roman" w:hAnsi="Times New Roman" w:cs="Times New Roman"/>
          <w:lang w:val="es-BO"/>
        </w:rPr>
        <w:t>del tipo de cambio real que se da en ambos paises a lo largo del horizonte de pronostico y su posible uso implícito como medio para lograr el objetivo de inflación,</w:t>
      </w:r>
      <w:r w:rsidR="00B27223" w:rsidRPr="00FD1DC0">
        <w:rPr>
          <w:rFonts w:ascii="Times New Roman" w:hAnsi="Times New Roman" w:cs="Times New Roman"/>
          <w:lang w:val="es-BO"/>
        </w:rPr>
        <w:t xml:space="preserve"> </w:t>
      </w:r>
      <w:r w:rsidRPr="00FD1DC0">
        <w:rPr>
          <w:rFonts w:ascii="Times New Roman" w:hAnsi="Times New Roman" w:cs="Times New Roman"/>
          <w:lang w:val="es-BO"/>
        </w:rPr>
        <w:t xml:space="preserve">acentúa en mayor magnitud las </w:t>
      </w:r>
      <w:r w:rsidR="00B27223" w:rsidRPr="00FD1DC0">
        <w:rPr>
          <w:rFonts w:ascii="Times New Roman" w:hAnsi="Times New Roman" w:cs="Times New Roman"/>
          <w:lang w:val="es-BO"/>
        </w:rPr>
        <w:t>defic</w:t>
      </w:r>
      <w:r w:rsidRPr="00FD1DC0">
        <w:rPr>
          <w:rFonts w:ascii="Times New Roman" w:hAnsi="Times New Roman" w:cs="Times New Roman"/>
          <w:lang w:val="es-BO"/>
        </w:rPr>
        <w:t xml:space="preserve">iencias estructurales de ambas economías </w:t>
      </w:r>
      <w:r w:rsidR="00B27223" w:rsidRPr="00FD1DC0">
        <w:rPr>
          <w:rFonts w:ascii="Times New Roman" w:hAnsi="Times New Roman" w:cs="Times New Roman"/>
          <w:lang w:val="es-BO"/>
        </w:rPr>
        <w:t xml:space="preserve">que </w:t>
      </w:r>
      <w:r w:rsidRPr="00FD1DC0">
        <w:rPr>
          <w:rFonts w:ascii="Times New Roman" w:hAnsi="Times New Roman" w:cs="Times New Roman"/>
          <w:lang w:val="es-BO"/>
        </w:rPr>
        <w:t xml:space="preserve">la conducen a resultados pobres en términos de crecimiento económico y fragilidad financiera. </w:t>
      </w:r>
    </w:p>
    <w:p w14:paraId="3F376EDC" w14:textId="4FB162A2" w:rsidR="004755F4" w:rsidRPr="00FD1DC0" w:rsidRDefault="004755F4" w:rsidP="0083325E">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163175" w:rsidRPr="00FD1DC0">
        <w:rPr>
          <w:rFonts w:ascii="Times New Roman" w:hAnsi="Times New Roman" w:cs="Times New Roman"/>
          <w:b/>
          <w:lang w:val="es-BO"/>
        </w:rPr>
        <w:t>áfica 2.16</w:t>
      </w:r>
      <w:r w:rsidRPr="00FD1DC0">
        <w:rPr>
          <w:rFonts w:ascii="Times New Roman" w:hAnsi="Times New Roman" w:cs="Times New Roman"/>
          <w:b/>
          <w:lang w:val="es-BO"/>
        </w:rPr>
        <w:t xml:space="preserve"> México y Brasil </w:t>
      </w:r>
      <w:r w:rsidR="0083325E" w:rsidRPr="00FD1DC0">
        <w:rPr>
          <w:rFonts w:ascii="Times New Roman" w:hAnsi="Times New Roman" w:cs="Times New Roman"/>
          <w:b/>
          <w:lang w:val="es-BO"/>
        </w:rPr>
        <w:t xml:space="preserve">Sobre Acumulación de Reservas Internacionales y Apreciación del </w:t>
      </w:r>
      <w:r w:rsidRPr="00FD1DC0">
        <w:rPr>
          <w:rFonts w:ascii="Times New Roman" w:hAnsi="Times New Roman" w:cs="Times New Roman"/>
          <w:b/>
          <w:lang w:val="es-BO"/>
        </w:rPr>
        <w:t>Índice del Tipo de Cambio Real</w:t>
      </w:r>
    </w:p>
    <w:p w14:paraId="07162C76" w14:textId="73F6EA93" w:rsidR="004755F4" w:rsidRPr="00FD1DC0" w:rsidRDefault="009E4897" w:rsidP="004755F4">
      <w:pPr>
        <w:spacing w:after="0" w:line="240" w:lineRule="auto"/>
        <w:ind w:left="0" w:right="0" w:firstLine="0"/>
        <w:jc w:val="center"/>
        <w:rPr>
          <w:b/>
          <w:lang w:val="es-BO"/>
        </w:rPr>
      </w:pPr>
      <w:r w:rsidRPr="00FD1DC0">
        <w:rPr>
          <w:b/>
          <w:noProof/>
        </w:rPr>
        <w:drawing>
          <wp:inline distT="0" distB="0" distL="0" distR="0" wp14:anchorId="635ED218" wp14:editId="68FDCC35">
            <wp:extent cx="4803140" cy="23335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581" cy="2341004"/>
                    </a:xfrm>
                    <a:prstGeom prst="rect">
                      <a:avLst/>
                    </a:prstGeom>
                    <a:noFill/>
                    <a:ln>
                      <a:noFill/>
                    </a:ln>
                  </pic:spPr>
                </pic:pic>
              </a:graphicData>
            </a:graphic>
          </wp:inline>
        </w:drawing>
      </w:r>
    </w:p>
    <w:p w14:paraId="54733654" w14:textId="4ABB89C7" w:rsidR="004755F4" w:rsidRPr="00FD1DC0" w:rsidRDefault="004755F4" w:rsidP="009E4897">
      <w:pPr>
        <w:spacing w:after="0" w:line="360" w:lineRule="auto"/>
        <w:ind w:left="0" w:right="533" w:firstLine="0"/>
        <w:jc w:val="center"/>
        <w:rPr>
          <w:sz w:val="16"/>
          <w:szCs w:val="16"/>
          <w:lang w:val="es-BO"/>
        </w:rPr>
      </w:pPr>
      <w:r w:rsidRPr="00FD1DC0">
        <w:rPr>
          <w:sz w:val="16"/>
          <w:szCs w:val="16"/>
          <w:lang w:val="es-BO"/>
        </w:rPr>
        <w:t>Fuente: Elaborac</w:t>
      </w:r>
      <w:r w:rsidR="00E02164" w:rsidRPr="00FD1DC0">
        <w:rPr>
          <w:sz w:val="16"/>
          <w:szCs w:val="16"/>
          <w:lang w:val="es-BO"/>
        </w:rPr>
        <w:t>ión Propia con base a datos del Banco de México y Banco Central del Brasil</w:t>
      </w:r>
    </w:p>
    <w:p w14:paraId="0E2BCF80" w14:textId="6B74B7B6" w:rsidR="00FB256F" w:rsidRPr="00FD1DC0" w:rsidRDefault="00D0460A" w:rsidP="00FB256F">
      <w:pPr>
        <w:spacing w:after="225" w:line="259" w:lineRule="auto"/>
        <w:ind w:left="0" w:right="0" w:firstLine="0"/>
        <w:jc w:val="left"/>
        <w:rPr>
          <w:b/>
          <w:lang w:val="es-BO"/>
        </w:rPr>
      </w:pPr>
      <w:r>
        <w:rPr>
          <w:b/>
          <w:lang w:val="es-BO"/>
        </w:rPr>
        <w:t>2.</w:t>
      </w:r>
      <w:r w:rsidR="00155BC2">
        <w:rPr>
          <w:b/>
          <w:lang w:val="es-BO"/>
        </w:rPr>
        <w:t>5</w:t>
      </w:r>
      <w:r w:rsidR="00FB256F" w:rsidRPr="00FD1DC0">
        <w:rPr>
          <w:b/>
          <w:lang w:val="es-BO"/>
        </w:rPr>
        <w:t xml:space="preserve"> </w:t>
      </w:r>
      <w:r w:rsidR="003F01C0" w:rsidRPr="00FD1DC0">
        <w:rPr>
          <w:b/>
          <w:lang w:val="es-BO"/>
        </w:rPr>
        <w:t>La Deuda Pública Interna y su comportamiento</w:t>
      </w:r>
      <w:r w:rsidR="00FB256F" w:rsidRPr="00FD1DC0">
        <w:rPr>
          <w:b/>
          <w:lang w:val="es-BO"/>
        </w:rPr>
        <w:t xml:space="preserve"> en México y Brasil</w:t>
      </w:r>
    </w:p>
    <w:p w14:paraId="555795F2" w14:textId="3767B6BE" w:rsidR="009463CD" w:rsidRPr="00FD1DC0" w:rsidRDefault="009463CD" w:rsidP="009F726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 xml:space="preserve">En este apartado se hace un análisis de un posible incremento inusitado de la deuda pública interna en México y Brasil y su relación con la adopción del ROI y la intervención esterilizada en el mercado cambiario que vienen realizando ambos países, con </w:t>
      </w:r>
      <w:r w:rsidR="00524FF5" w:rsidRPr="00FD1DC0">
        <w:rPr>
          <w:rFonts w:ascii="Times New Roman" w:hAnsi="Times New Roman" w:cs="Times New Roman"/>
          <w:lang w:val="es-BO"/>
        </w:rPr>
        <w:t>mayor frecuencia desde 2001</w:t>
      </w:r>
      <w:r w:rsidRPr="00FD1DC0">
        <w:rPr>
          <w:rFonts w:ascii="Times New Roman" w:hAnsi="Times New Roman" w:cs="Times New Roman"/>
          <w:lang w:val="es-BO"/>
        </w:rPr>
        <w:t xml:space="preserve"> en el caso de México y 1999 en el caso de Brasil, como estrategia para promover la estabilidad de precios en el marco del ROI.</w:t>
      </w:r>
    </w:p>
    <w:p w14:paraId="4BA87E4E" w14:textId="780B1CEF" w:rsidR="00CC2F50" w:rsidRPr="00FD1DC0" w:rsidRDefault="00434CA9" w:rsidP="009F726B">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la gráfica 2.17</w:t>
      </w:r>
      <w:r w:rsidR="009F726B" w:rsidRPr="00FD1DC0">
        <w:rPr>
          <w:rFonts w:ascii="Times New Roman" w:hAnsi="Times New Roman" w:cs="Times New Roman"/>
          <w:lang w:val="es-BO"/>
        </w:rPr>
        <w:t xml:space="preserve"> se muestra el comportamiento de la</w:t>
      </w:r>
      <w:r w:rsidR="00590931" w:rsidRPr="00FD1DC0">
        <w:rPr>
          <w:rFonts w:ascii="Times New Roman" w:hAnsi="Times New Roman" w:cs="Times New Roman"/>
          <w:lang w:val="es-BO"/>
        </w:rPr>
        <w:t xml:space="preserve"> Deuda Pública Interna como porcentaje del PIB</w:t>
      </w:r>
      <w:r w:rsidR="009F726B" w:rsidRPr="00FD1DC0">
        <w:rPr>
          <w:rFonts w:ascii="Times New Roman" w:hAnsi="Times New Roman" w:cs="Times New Roman"/>
          <w:lang w:val="es-BO"/>
        </w:rPr>
        <w:t xml:space="preserve"> de México y Brasil</w:t>
      </w:r>
      <w:r w:rsidR="00590931" w:rsidRPr="00FD1DC0">
        <w:rPr>
          <w:rFonts w:ascii="Times New Roman" w:hAnsi="Times New Roman" w:cs="Times New Roman"/>
          <w:lang w:val="es-BO"/>
        </w:rPr>
        <w:t xml:space="preserve"> (DPI</w:t>
      </w:r>
      <w:r w:rsidR="009F726B" w:rsidRPr="00FD1DC0">
        <w:rPr>
          <w:rFonts w:ascii="Times New Roman" w:hAnsi="Times New Roman" w:cs="Times New Roman"/>
          <w:lang w:val="es-BO"/>
        </w:rPr>
        <w:t>)</w:t>
      </w:r>
      <w:r w:rsidR="00590931" w:rsidRPr="00FD1DC0">
        <w:rPr>
          <w:rFonts w:ascii="Times New Roman" w:hAnsi="Times New Roman" w:cs="Times New Roman"/>
          <w:lang w:val="es-BO"/>
        </w:rPr>
        <w:t xml:space="preserve"> en el periodo de aplicación de objetivos de inflación. Podemos, advertir que existe una relación de tendencia ascendente y de equilibrio de largo plazo entre las dos series económicas</w:t>
      </w:r>
      <w:r w:rsidR="009F726B" w:rsidRPr="00FD1DC0">
        <w:rPr>
          <w:rFonts w:ascii="Times New Roman" w:hAnsi="Times New Roman" w:cs="Times New Roman"/>
          <w:lang w:val="es-BO"/>
        </w:rPr>
        <w:t xml:space="preserve">. </w:t>
      </w:r>
    </w:p>
    <w:p w14:paraId="19074A8C" w14:textId="5D4DA50B" w:rsidR="00CE6840" w:rsidRPr="00FD1DC0" w:rsidRDefault="00CC2F50" w:rsidP="00CC2F50">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el caso de México, se observa un aumento de la deuda pública interna de manera significativa desde los primeros años de la década de los 90, tendencia ascendente que se torna en un cambio de direcci</w:t>
      </w:r>
      <w:r w:rsidR="00A17952" w:rsidRPr="00FD1DC0">
        <w:rPr>
          <w:rFonts w:ascii="Times New Roman" w:hAnsi="Times New Roman" w:cs="Times New Roman"/>
          <w:lang w:val="es-BO"/>
        </w:rPr>
        <w:t xml:space="preserve">ón leve </w:t>
      </w:r>
      <w:r w:rsidRPr="00FD1DC0">
        <w:rPr>
          <w:rFonts w:ascii="Times New Roman" w:hAnsi="Times New Roman" w:cs="Times New Roman"/>
          <w:lang w:val="es-BO"/>
        </w:rPr>
        <w:t>en</w:t>
      </w:r>
      <w:r w:rsidR="00A17952" w:rsidRPr="00FD1DC0">
        <w:rPr>
          <w:rFonts w:ascii="Times New Roman" w:hAnsi="Times New Roman" w:cs="Times New Roman"/>
          <w:lang w:val="es-BO"/>
        </w:rPr>
        <w:t xml:space="preserve"> </w:t>
      </w:r>
      <w:r w:rsidRPr="00FD1DC0">
        <w:rPr>
          <w:rFonts w:ascii="Times New Roman" w:hAnsi="Times New Roman" w:cs="Times New Roman"/>
          <w:lang w:val="es-BO"/>
        </w:rPr>
        <w:t xml:space="preserve">1994-1997, la misma debido a que se </w:t>
      </w:r>
      <w:r w:rsidR="002E3D37" w:rsidRPr="00FD1DC0">
        <w:rPr>
          <w:rFonts w:ascii="Times New Roman" w:hAnsi="Times New Roman" w:cs="Times New Roman"/>
          <w:lang w:val="es-BO"/>
        </w:rPr>
        <w:t xml:space="preserve">elevó </w:t>
      </w:r>
      <w:r w:rsidR="00D853B6" w:rsidRPr="00FD1DC0">
        <w:rPr>
          <w:rFonts w:ascii="Times New Roman" w:hAnsi="Times New Roman" w:cs="Times New Roman"/>
          <w:lang w:val="es-BO"/>
        </w:rPr>
        <w:t>el crédito</w:t>
      </w:r>
      <w:r w:rsidRPr="00FD1DC0">
        <w:rPr>
          <w:rFonts w:ascii="Times New Roman" w:hAnsi="Times New Roman" w:cs="Times New Roman"/>
          <w:lang w:val="es-BO"/>
        </w:rPr>
        <w:t xml:space="preserve"> externo con la finalidad de mitigar la liquidez y la posible insolvencia que es explicado por la crisis de 1994-1995. A su vez desde 1998 la deuda interna nuevamente comienzo su tendencia de crecimiento acelerado, con elevadas tasas de crecimiento desde 1996 al 2008, este último año del 2008 explicado por la crisis financiera internacional, el mismo dio lugar a que el gobierno tenga que recurrir al endeudamiento externo </w:t>
      </w:r>
      <w:r w:rsidR="002E3D37" w:rsidRPr="00FD1DC0">
        <w:rPr>
          <w:rFonts w:ascii="Times New Roman" w:hAnsi="Times New Roman" w:cs="Times New Roman"/>
          <w:lang w:val="es-BO"/>
        </w:rPr>
        <w:t>para contrarrestar</w:t>
      </w:r>
      <w:r w:rsidRPr="00FD1DC0">
        <w:rPr>
          <w:rFonts w:ascii="Times New Roman" w:hAnsi="Times New Roman" w:cs="Times New Roman"/>
          <w:lang w:val="es-BO"/>
        </w:rPr>
        <w:t xml:space="preserve"> la fragilidad financiera desde el 2008.</w:t>
      </w:r>
      <w:r w:rsidR="00A4574C" w:rsidRPr="00FD1DC0">
        <w:rPr>
          <w:rFonts w:ascii="Times New Roman" w:hAnsi="Times New Roman" w:cs="Times New Roman"/>
          <w:lang w:val="es-BO"/>
        </w:rPr>
        <w:t xml:space="preserve"> Ahora en el caso de Brasil existe un quiebre estructural del comportamiento de la deuda pública interna desde el 2006 al 2011, periodo de tiempo caracterizado por un incremento inusitado y significativo del precio de los commodities internacionales, crisis financiera del 2008, para luego después del 2011 comience un periodo de tendencia a crecer de manera significativa de la deuda pública interna de Brasil</w:t>
      </w:r>
      <w:r w:rsidR="0089658E" w:rsidRPr="00FD1DC0">
        <w:rPr>
          <w:rFonts w:ascii="Times New Roman" w:hAnsi="Times New Roman" w:cs="Times New Roman"/>
          <w:lang w:val="es-BO"/>
        </w:rPr>
        <w:t xml:space="preserve"> (López y Basilio, 2014).</w:t>
      </w:r>
    </w:p>
    <w:p w14:paraId="1CB0186A" w14:textId="79A4A140" w:rsidR="009F726B" w:rsidRPr="00FD1DC0" w:rsidRDefault="009F726B" w:rsidP="009F726B">
      <w:pPr>
        <w:spacing w:after="0" w:line="240" w:lineRule="auto"/>
        <w:ind w:left="62" w:right="533" w:hanging="11"/>
        <w:jc w:val="center"/>
        <w:rPr>
          <w:rFonts w:ascii="Times New Roman" w:hAnsi="Times New Roman" w:cs="Times New Roman"/>
          <w:b/>
          <w:lang w:val="es-BO"/>
        </w:rPr>
      </w:pPr>
      <w:r w:rsidRPr="00FD1DC0">
        <w:rPr>
          <w:rFonts w:ascii="Times New Roman" w:hAnsi="Times New Roman" w:cs="Times New Roman"/>
          <w:b/>
          <w:lang w:val="es-BO"/>
        </w:rPr>
        <w:t>Gr</w:t>
      </w:r>
      <w:r w:rsidR="00163175" w:rsidRPr="00FD1DC0">
        <w:rPr>
          <w:rFonts w:ascii="Times New Roman" w:hAnsi="Times New Roman" w:cs="Times New Roman"/>
          <w:b/>
          <w:lang w:val="es-BO"/>
        </w:rPr>
        <w:t>áfica 2.17</w:t>
      </w:r>
      <w:r w:rsidRPr="00FD1DC0">
        <w:rPr>
          <w:rFonts w:ascii="Times New Roman" w:hAnsi="Times New Roman" w:cs="Times New Roman"/>
          <w:b/>
          <w:lang w:val="es-BO"/>
        </w:rPr>
        <w:t xml:space="preserve"> México y Brasil Sobre Deuda Pública Interna como % del PIB</w:t>
      </w:r>
    </w:p>
    <w:p w14:paraId="2AA55DCC" w14:textId="008DFFE6" w:rsidR="009F726B" w:rsidRPr="00FD1DC0" w:rsidRDefault="00590931" w:rsidP="009F726B">
      <w:pPr>
        <w:spacing w:after="0" w:line="240" w:lineRule="auto"/>
        <w:ind w:left="0" w:right="0" w:firstLine="0"/>
        <w:jc w:val="center"/>
        <w:rPr>
          <w:b/>
          <w:lang w:val="es-BO"/>
        </w:rPr>
      </w:pPr>
      <w:r w:rsidRPr="00FD1DC0">
        <w:rPr>
          <w:rFonts w:ascii="Times New Roman" w:hAnsi="Times New Roman" w:cs="Times New Roman"/>
          <w:noProof/>
        </w:rPr>
        <w:drawing>
          <wp:inline distT="0" distB="0" distL="0" distR="0" wp14:anchorId="629EBA66" wp14:editId="321E4B33">
            <wp:extent cx="4464050" cy="22987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50" cy="2298700"/>
                    </a:xfrm>
                    <a:prstGeom prst="rect">
                      <a:avLst/>
                    </a:prstGeom>
                    <a:noFill/>
                    <a:ln>
                      <a:noFill/>
                    </a:ln>
                  </pic:spPr>
                </pic:pic>
              </a:graphicData>
            </a:graphic>
          </wp:inline>
        </w:drawing>
      </w:r>
    </w:p>
    <w:p w14:paraId="19F7DDFE" w14:textId="3B9AB001" w:rsidR="00F763BB" w:rsidRPr="00FD1DC0" w:rsidRDefault="009F726B" w:rsidP="00BF2A0F">
      <w:pPr>
        <w:spacing w:after="0" w:line="360" w:lineRule="auto"/>
        <w:ind w:left="0" w:right="533" w:firstLine="0"/>
        <w:jc w:val="center"/>
        <w:rPr>
          <w:sz w:val="16"/>
          <w:szCs w:val="16"/>
          <w:lang w:val="es-BO"/>
        </w:rPr>
      </w:pPr>
      <w:r w:rsidRPr="00FD1DC0">
        <w:rPr>
          <w:sz w:val="16"/>
          <w:szCs w:val="16"/>
          <w:lang w:val="es-BO"/>
        </w:rPr>
        <w:t>Fuente: Elaboración Propia con base a datos del Banco de México y Banco Central del Brasil</w:t>
      </w:r>
    </w:p>
    <w:p w14:paraId="237D0FE2" w14:textId="2BBB02DD" w:rsidR="007D6FE8" w:rsidRPr="00FD1DC0" w:rsidRDefault="00163175" w:rsidP="007D6FE8">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Asimismo, en la gráfica 2.17</w:t>
      </w:r>
      <w:r w:rsidR="007D6FE8" w:rsidRPr="00FD1DC0">
        <w:rPr>
          <w:rFonts w:ascii="Times New Roman" w:hAnsi="Times New Roman" w:cs="Times New Roman"/>
          <w:lang w:val="es-BO"/>
        </w:rPr>
        <w:t xml:space="preserve"> se puede visualizar, en el caso de México y Brasil que se registró un incremento significativo de la deuda interna en el periodo del ROI. Por otro lado, la evolución cronológica de esta deuda está altamente relacionado de manera directa con la estrategia de intervención en el mercado cambiario, que aplican de manera recurrente ambas autoridades monetarias con el objeto de tener control sobre la dirección que vaya a tomar el tipo de cambio nominal y su respectiva estabilidad y finalmente mantener estable la base monetaria.</w:t>
      </w:r>
    </w:p>
    <w:p w14:paraId="5D0AF656" w14:textId="033C37CE" w:rsidR="007D6FE8" w:rsidRPr="00FD1DC0" w:rsidRDefault="0077041A" w:rsidP="007D6FE8">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En la línea de López González (2006), esta estrategia de política económica de</w:t>
      </w:r>
      <w:r w:rsidR="007D6FE8" w:rsidRPr="00FD1DC0">
        <w:rPr>
          <w:rFonts w:ascii="Times New Roman" w:hAnsi="Times New Roman" w:cs="Times New Roman"/>
          <w:lang w:val="es-BO"/>
        </w:rPr>
        <w:t xml:space="preserve"> emisión de títulos públicos </w:t>
      </w:r>
      <w:r w:rsidRPr="00FD1DC0">
        <w:rPr>
          <w:rFonts w:ascii="Times New Roman" w:hAnsi="Times New Roman" w:cs="Times New Roman"/>
          <w:lang w:val="es-BO"/>
        </w:rPr>
        <w:t>por parte del estado mexicano y brasileño</w:t>
      </w:r>
      <w:r w:rsidR="007D6FE8" w:rsidRPr="00FD1DC0">
        <w:rPr>
          <w:rFonts w:ascii="Times New Roman" w:hAnsi="Times New Roman" w:cs="Times New Roman"/>
          <w:lang w:val="es-BO"/>
        </w:rPr>
        <w:t xml:space="preserve">, explica que los mercados de bonos soberanos </w:t>
      </w:r>
      <w:r w:rsidRPr="00FD1DC0">
        <w:rPr>
          <w:rFonts w:ascii="Times New Roman" w:hAnsi="Times New Roman" w:cs="Times New Roman"/>
          <w:lang w:val="es-BO"/>
        </w:rPr>
        <w:t>de ambos países</w:t>
      </w:r>
      <w:r w:rsidR="007D6FE8" w:rsidRPr="00FD1DC0">
        <w:rPr>
          <w:rFonts w:ascii="Times New Roman" w:hAnsi="Times New Roman" w:cs="Times New Roman"/>
          <w:lang w:val="es-BO"/>
        </w:rPr>
        <w:t xml:space="preserve"> concentren el 70% del total de bonos emitidos en América Latina. </w:t>
      </w:r>
    </w:p>
    <w:p w14:paraId="07C5BBDF" w14:textId="73656171" w:rsidR="001641CE" w:rsidRPr="00FD1DC0" w:rsidRDefault="007C47A8" w:rsidP="00226046">
      <w:pPr>
        <w:spacing w:after="0" w:line="360" w:lineRule="auto"/>
        <w:ind w:left="0" w:right="533" w:firstLine="0"/>
        <w:rPr>
          <w:rFonts w:ascii="Times New Roman" w:hAnsi="Times New Roman" w:cs="Times New Roman"/>
          <w:lang w:val="es-BO"/>
        </w:rPr>
      </w:pPr>
      <w:r w:rsidRPr="00FD1DC0">
        <w:rPr>
          <w:rFonts w:ascii="Times New Roman" w:hAnsi="Times New Roman" w:cs="Times New Roman"/>
          <w:lang w:val="es-BO"/>
        </w:rPr>
        <w:t>Por lo tanto, bajo el régimen de objetivos</w:t>
      </w:r>
      <w:r w:rsidR="007D6FE8" w:rsidRPr="00FD1DC0">
        <w:rPr>
          <w:rFonts w:ascii="Times New Roman" w:hAnsi="Times New Roman" w:cs="Times New Roman"/>
          <w:lang w:val="es-BO"/>
        </w:rPr>
        <w:t xml:space="preserve"> de inflación</w:t>
      </w:r>
      <w:r w:rsidRPr="00FD1DC0">
        <w:rPr>
          <w:rFonts w:ascii="Times New Roman" w:hAnsi="Times New Roman" w:cs="Times New Roman"/>
          <w:lang w:val="es-BO"/>
        </w:rPr>
        <w:t xml:space="preserve"> en ambos países</w:t>
      </w:r>
      <w:r w:rsidR="007D6FE8" w:rsidRPr="00FD1DC0">
        <w:rPr>
          <w:rFonts w:ascii="Times New Roman" w:hAnsi="Times New Roman" w:cs="Times New Roman"/>
          <w:lang w:val="es-BO"/>
        </w:rPr>
        <w:t>, el incremento de la deuda pública interna</w:t>
      </w:r>
      <w:r w:rsidRPr="00FD1DC0">
        <w:rPr>
          <w:rFonts w:ascii="Times New Roman" w:hAnsi="Times New Roman" w:cs="Times New Roman"/>
          <w:lang w:val="es-BO"/>
        </w:rPr>
        <w:t xml:space="preserve"> ha sido también un motor fundamental</w:t>
      </w:r>
      <w:r w:rsidR="007D6FE8" w:rsidRPr="00FD1DC0">
        <w:rPr>
          <w:rFonts w:ascii="Times New Roman" w:hAnsi="Times New Roman" w:cs="Times New Roman"/>
          <w:lang w:val="es-BO"/>
        </w:rPr>
        <w:t xml:space="preserve"> para intervenir en sus mercados cambiarios, con </w:t>
      </w:r>
      <w:r w:rsidRPr="00FD1DC0">
        <w:rPr>
          <w:rFonts w:ascii="Times New Roman" w:hAnsi="Times New Roman" w:cs="Times New Roman"/>
          <w:lang w:val="es-BO"/>
        </w:rPr>
        <w:t xml:space="preserve">la finalidad de tener control y tuición total de la dirección del tipo de cambio nominal. Sin </w:t>
      </w:r>
      <w:r w:rsidR="00226046" w:rsidRPr="00FD1DC0">
        <w:rPr>
          <w:rFonts w:ascii="Times New Roman" w:hAnsi="Times New Roman" w:cs="Times New Roman"/>
          <w:lang w:val="es-BO"/>
        </w:rPr>
        <w:t>embargo,</w:t>
      </w:r>
      <w:r w:rsidRPr="00FD1DC0">
        <w:rPr>
          <w:rFonts w:ascii="Times New Roman" w:hAnsi="Times New Roman" w:cs="Times New Roman"/>
          <w:lang w:val="es-BO"/>
        </w:rPr>
        <w:t xml:space="preserve"> la misma, da lugar a un posible</w:t>
      </w:r>
      <w:r w:rsidR="007D6FE8" w:rsidRPr="00FD1DC0">
        <w:rPr>
          <w:rFonts w:ascii="Times New Roman" w:hAnsi="Times New Roman" w:cs="Times New Roman"/>
          <w:lang w:val="es-BO"/>
        </w:rPr>
        <w:t xml:space="preserve"> incremento en los costos cuasi-fiscales y el financiero</w:t>
      </w:r>
      <w:r w:rsidRPr="00FD1DC0">
        <w:rPr>
          <w:rFonts w:ascii="Times New Roman" w:hAnsi="Times New Roman" w:cs="Times New Roman"/>
          <w:lang w:val="es-BO"/>
        </w:rPr>
        <w:t>.</w:t>
      </w:r>
    </w:p>
    <w:p w14:paraId="525E31ED" w14:textId="1BCD857F" w:rsidR="00BA1929" w:rsidRPr="00FD1DC0" w:rsidRDefault="00BA1929" w:rsidP="00D85B1E">
      <w:pPr>
        <w:pStyle w:val="Ttulo3"/>
        <w:spacing w:after="0" w:line="360" w:lineRule="auto"/>
        <w:ind w:left="45" w:right="369"/>
        <w:rPr>
          <w:rFonts w:ascii="Times New Roman" w:hAnsi="Times New Roman" w:cs="Times New Roman"/>
          <w:lang w:val="es-BO"/>
        </w:rPr>
      </w:pPr>
      <w:r w:rsidRPr="00FD1DC0">
        <w:rPr>
          <w:rFonts w:ascii="Times New Roman" w:hAnsi="Times New Roman" w:cs="Times New Roman"/>
          <w:lang w:val="es-BO"/>
        </w:rPr>
        <w:t>Conclusi</w:t>
      </w:r>
      <w:r w:rsidR="00563D9E" w:rsidRPr="00FD1DC0">
        <w:rPr>
          <w:rFonts w:ascii="Times New Roman" w:hAnsi="Times New Roman" w:cs="Times New Roman"/>
          <w:lang w:val="es-BO"/>
        </w:rPr>
        <w:t>ón</w:t>
      </w:r>
      <w:r w:rsidRPr="00FD1DC0">
        <w:rPr>
          <w:rFonts w:ascii="Times New Roman" w:hAnsi="Times New Roman" w:cs="Times New Roman"/>
          <w:lang w:val="es-BO"/>
        </w:rPr>
        <w:t xml:space="preserve"> </w:t>
      </w:r>
    </w:p>
    <w:p w14:paraId="31AA4B07" w14:textId="1D7A498E" w:rsidR="005C1F22" w:rsidRPr="00FD1DC0" w:rsidRDefault="005C1F22" w:rsidP="005C1F2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En el presente capítul</w:t>
      </w:r>
      <w:r w:rsidR="00EA4810" w:rsidRPr="00FD1DC0">
        <w:rPr>
          <w:rFonts w:ascii="Times New Roman" w:hAnsi="Times New Roman" w:cs="Times New Roman"/>
          <w:lang w:val="es-BO"/>
        </w:rPr>
        <w:t xml:space="preserve">o se presentó como </w:t>
      </w:r>
      <w:r w:rsidRPr="00FD1DC0">
        <w:rPr>
          <w:rFonts w:ascii="Times New Roman" w:hAnsi="Times New Roman" w:cs="Times New Roman"/>
          <w:lang w:val="es-BO"/>
        </w:rPr>
        <w:t xml:space="preserve">México y Brasil transitaron hacia un régimen de objetivos de inflación ROI, en primera instancia se describió la política monetaria utilizada por el Banxico y el BCB, además se menciona </w:t>
      </w:r>
      <w:r w:rsidR="00FB26ED" w:rsidRPr="00FD1DC0">
        <w:rPr>
          <w:rFonts w:ascii="Times New Roman" w:hAnsi="Times New Roman" w:cs="Times New Roman"/>
          <w:lang w:val="es-BO"/>
        </w:rPr>
        <w:t xml:space="preserve">que, </w:t>
      </w:r>
      <w:r w:rsidRPr="00FD1DC0">
        <w:rPr>
          <w:rFonts w:ascii="Times New Roman" w:hAnsi="Times New Roman" w:cs="Times New Roman"/>
          <w:lang w:val="es-BO"/>
        </w:rPr>
        <w:t>en el caso del Banco de México, en 1993, se aplicaron varias reformas a la Constitución con la finalidad de otorgar a</w:t>
      </w:r>
      <w:r w:rsidR="007278BC" w:rsidRPr="00FD1DC0">
        <w:rPr>
          <w:rFonts w:ascii="Times New Roman" w:hAnsi="Times New Roman" w:cs="Times New Roman"/>
          <w:lang w:val="es-BO"/>
        </w:rPr>
        <w:t>l Banxico</w:t>
      </w:r>
      <w:r w:rsidRPr="00FD1DC0">
        <w:rPr>
          <w:rFonts w:ascii="Times New Roman" w:hAnsi="Times New Roman" w:cs="Times New Roman"/>
          <w:lang w:val="es-BO"/>
        </w:rPr>
        <w:t xml:space="preserve"> autonomía, con el objetivo de lograr la estabilidad del poder a</w:t>
      </w:r>
      <w:r w:rsidR="007278BC" w:rsidRPr="00FD1DC0">
        <w:rPr>
          <w:rFonts w:ascii="Times New Roman" w:hAnsi="Times New Roman" w:cs="Times New Roman"/>
          <w:lang w:val="es-BO"/>
        </w:rPr>
        <w:t>dquisitivo</w:t>
      </w:r>
      <w:r w:rsidRPr="00FD1DC0">
        <w:rPr>
          <w:rFonts w:ascii="Times New Roman" w:hAnsi="Times New Roman" w:cs="Times New Roman"/>
          <w:lang w:val="es-BO"/>
        </w:rPr>
        <w:t>. En ese senti</w:t>
      </w:r>
      <w:r w:rsidR="007278BC" w:rsidRPr="00FD1DC0">
        <w:rPr>
          <w:rFonts w:ascii="Times New Roman" w:hAnsi="Times New Roman" w:cs="Times New Roman"/>
          <w:lang w:val="es-BO"/>
        </w:rPr>
        <w:t>do, el régimen cambiario</w:t>
      </w:r>
      <w:r w:rsidRPr="00FD1DC0">
        <w:rPr>
          <w:rFonts w:ascii="Times New Roman" w:hAnsi="Times New Roman" w:cs="Times New Roman"/>
          <w:lang w:val="es-BO"/>
        </w:rPr>
        <w:t xml:space="preserve"> fijo se mantuvo hasta 1994, por su parte la crisis del 1994 se optó por aplicar un régimen cambi</w:t>
      </w:r>
      <w:r w:rsidR="00FB26ED" w:rsidRPr="00FD1DC0">
        <w:rPr>
          <w:rFonts w:ascii="Times New Roman" w:hAnsi="Times New Roman" w:cs="Times New Roman"/>
          <w:lang w:val="es-BO"/>
        </w:rPr>
        <w:t>ario de flotación</w:t>
      </w:r>
      <w:r w:rsidRPr="00FD1DC0">
        <w:rPr>
          <w:rFonts w:ascii="Times New Roman" w:hAnsi="Times New Roman" w:cs="Times New Roman"/>
          <w:lang w:val="es-BO"/>
        </w:rPr>
        <w:t xml:space="preserve">, de esta forma, ya se empezó a pensar en la tasa de interés como el mejor indicador de la postura de política monetaria. Por otro lado, a mediados de 1998, el esquema de política monetaria utilizada por el Banxico, empezó una migración lenta hacia un esquema ROI. Sin embargo, la misma evidencia empírica sugiere que la aplicación del esquema </w:t>
      </w:r>
      <w:r w:rsidR="00CD6BFE" w:rsidRPr="00FD1DC0">
        <w:rPr>
          <w:rFonts w:ascii="Times New Roman" w:hAnsi="Times New Roman" w:cs="Times New Roman"/>
          <w:lang w:val="es-BO"/>
        </w:rPr>
        <w:t>ROI</w:t>
      </w:r>
      <w:r w:rsidR="00FB26ED" w:rsidRPr="00FD1DC0">
        <w:rPr>
          <w:rFonts w:ascii="Times New Roman" w:hAnsi="Times New Roman" w:cs="Times New Roman"/>
          <w:lang w:val="es-BO"/>
        </w:rPr>
        <w:t xml:space="preserve">, si bien ha procurado </w:t>
      </w:r>
      <w:r w:rsidRPr="00FD1DC0">
        <w:rPr>
          <w:rFonts w:ascii="Times New Roman" w:hAnsi="Times New Roman" w:cs="Times New Roman"/>
          <w:lang w:val="es-BO"/>
        </w:rPr>
        <w:t>que la tasa de inflación sea estacionaria, pero fue a costa de sacrificar el desempeño de otras variables económicas</w:t>
      </w:r>
      <w:r w:rsidR="00CD6BFE" w:rsidRPr="00FD1DC0">
        <w:rPr>
          <w:rFonts w:ascii="Times New Roman" w:hAnsi="Times New Roman" w:cs="Times New Roman"/>
          <w:lang w:val="es-BO"/>
        </w:rPr>
        <w:t>.</w:t>
      </w:r>
    </w:p>
    <w:p w14:paraId="28844EE5" w14:textId="77777777" w:rsidR="00C01E88" w:rsidRPr="00FD1DC0" w:rsidRDefault="00C01E88" w:rsidP="00DA1075">
      <w:pPr>
        <w:spacing w:after="0" w:line="360" w:lineRule="auto"/>
        <w:ind w:left="0" w:right="491" w:firstLine="0"/>
        <w:rPr>
          <w:rFonts w:ascii="Times New Roman" w:hAnsi="Times New Roman" w:cs="Times New Roman"/>
          <w:b/>
          <w:bCs/>
          <w:lang w:val="es-MX"/>
        </w:rPr>
      </w:pPr>
    </w:p>
    <w:p w14:paraId="684A9526" w14:textId="27F62FB3" w:rsidR="00262BBF" w:rsidRPr="00FD1DC0" w:rsidRDefault="000A3BA4" w:rsidP="00C06B0A">
      <w:pPr>
        <w:spacing w:after="0" w:line="360" w:lineRule="auto"/>
        <w:ind w:left="10" w:right="491" w:hanging="11"/>
        <w:rPr>
          <w:rFonts w:ascii="Times New Roman" w:hAnsi="Times New Roman" w:cs="Times New Roman"/>
          <w:b/>
          <w:bCs/>
          <w:szCs w:val="24"/>
          <w:lang w:val="es-BO"/>
        </w:rPr>
      </w:pPr>
      <w:r>
        <w:rPr>
          <w:rFonts w:ascii="Times New Roman" w:hAnsi="Times New Roman" w:cs="Times New Roman"/>
          <w:b/>
          <w:bCs/>
          <w:lang w:val="es-MX"/>
        </w:rPr>
        <w:t>Acápite</w:t>
      </w:r>
      <w:r w:rsidR="00262BBF" w:rsidRPr="00FD1DC0">
        <w:rPr>
          <w:rFonts w:ascii="Times New Roman" w:hAnsi="Times New Roman" w:cs="Times New Roman"/>
          <w:b/>
          <w:bCs/>
          <w:lang w:val="es-MX"/>
        </w:rPr>
        <w:t xml:space="preserve"> III</w:t>
      </w:r>
      <w:r w:rsidR="00866723" w:rsidRPr="00FD1DC0">
        <w:rPr>
          <w:rFonts w:ascii="Times New Roman" w:hAnsi="Times New Roman" w:cs="Times New Roman"/>
          <w:b/>
          <w:bCs/>
          <w:lang w:val="es-MX"/>
        </w:rPr>
        <w:t xml:space="preserve">. </w:t>
      </w:r>
      <w:r w:rsidR="00545407" w:rsidRPr="00FD1DC0">
        <w:rPr>
          <w:rFonts w:ascii="Times New Roman" w:hAnsi="Times New Roman" w:cs="Times New Roman"/>
          <w:b/>
          <w:bCs/>
          <w:szCs w:val="24"/>
          <w:lang w:val="es-BO"/>
        </w:rPr>
        <w:t>M</w:t>
      </w:r>
      <w:r w:rsidR="00E54311" w:rsidRPr="00FD1DC0">
        <w:rPr>
          <w:rFonts w:ascii="Times New Roman" w:hAnsi="Times New Roman" w:cs="Times New Roman"/>
          <w:b/>
          <w:bCs/>
          <w:szCs w:val="24"/>
          <w:lang w:val="es-BO"/>
        </w:rPr>
        <w:t>odelo Econométrico de Objetivos de I</w:t>
      </w:r>
      <w:r w:rsidR="00866723" w:rsidRPr="00FD1DC0">
        <w:rPr>
          <w:rFonts w:ascii="Times New Roman" w:hAnsi="Times New Roman" w:cs="Times New Roman"/>
          <w:b/>
          <w:bCs/>
          <w:szCs w:val="24"/>
          <w:lang w:val="es-BO"/>
        </w:rPr>
        <w:t xml:space="preserve">nflación </w:t>
      </w:r>
      <w:r w:rsidR="00937B19" w:rsidRPr="00FD1DC0">
        <w:rPr>
          <w:rFonts w:ascii="Times New Roman" w:hAnsi="Times New Roman" w:cs="Times New Roman"/>
          <w:b/>
          <w:bCs/>
          <w:szCs w:val="24"/>
          <w:lang w:val="es-BO"/>
        </w:rPr>
        <w:t>para México y Brasil, 1994-2020</w:t>
      </w:r>
    </w:p>
    <w:p w14:paraId="5819812A" w14:textId="0B52BCCB" w:rsidR="00262BBF" w:rsidRPr="00FD1DC0" w:rsidRDefault="006A3E9D" w:rsidP="00391E1B">
      <w:pPr>
        <w:spacing w:after="0" w:line="360" w:lineRule="auto"/>
        <w:ind w:left="0" w:right="535" w:firstLine="0"/>
        <w:rPr>
          <w:rFonts w:ascii="Times New Roman" w:hAnsi="Times New Roman" w:cs="Times New Roman"/>
          <w:b/>
          <w:lang w:val="es-BO"/>
        </w:rPr>
      </w:pPr>
      <w:r w:rsidRPr="00FD1DC0">
        <w:rPr>
          <w:rFonts w:ascii="Times New Roman" w:hAnsi="Times New Roman" w:cs="Times New Roman"/>
          <w:b/>
          <w:lang w:val="es-BO"/>
        </w:rPr>
        <w:t>3</w:t>
      </w:r>
      <w:r w:rsidR="006846B6">
        <w:rPr>
          <w:rFonts w:ascii="Times New Roman" w:hAnsi="Times New Roman" w:cs="Times New Roman"/>
          <w:b/>
          <w:lang w:val="es-BO"/>
        </w:rPr>
        <w:t>.1</w:t>
      </w:r>
      <w:r w:rsidR="001F18E1" w:rsidRPr="00FD1DC0">
        <w:rPr>
          <w:rFonts w:ascii="Times New Roman" w:hAnsi="Times New Roman" w:cs="Times New Roman"/>
          <w:b/>
          <w:lang w:val="es-BO"/>
        </w:rPr>
        <w:t xml:space="preserve"> </w:t>
      </w:r>
      <w:r w:rsidR="00E973E0" w:rsidRPr="00FD1DC0">
        <w:rPr>
          <w:rFonts w:ascii="Times New Roman" w:hAnsi="Times New Roman" w:cs="Times New Roman"/>
          <w:b/>
          <w:lang w:val="es-BO"/>
        </w:rPr>
        <w:t>Metodología y Análisis E</w:t>
      </w:r>
      <w:r w:rsidR="00235F45" w:rsidRPr="00FD1DC0">
        <w:rPr>
          <w:rFonts w:ascii="Times New Roman" w:hAnsi="Times New Roman" w:cs="Times New Roman"/>
          <w:b/>
          <w:lang w:val="es-BO"/>
        </w:rPr>
        <w:t>mpírico</w:t>
      </w:r>
      <w:r w:rsidR="000569E1" w:rsidRPr="00FD1DC0">
        <w:rPr>
          <w:rFonts w:ascii="Times New Roman" w:hAnsi="Times New Roman" w:cs="Times New Roman"/>
          <w:b/>
          <w:lang w:val="es-BO"/>
        </w:rPr>
        <w:t xml:space="preserve">. </w:t>
      </w:r>
    </w:p>
    <w:p w14:paraId="5ACA26C0" w14:textId="77777777" w:rsidR="00746790" w:rsidRPr="00FD1DC0" w:rsidRDefault="00E9600B" w:rsidP="00391E1B">
      <w:pPr>
        <w:spacing w:after="0" w:line="360" w:lineRule="auto"/>
        <w:ind w:left="45" w:right="522" w:hanging="11"/>
        <w:rPr>
          <w:rFonts w:ascii="Times New Roman" w:hAnsi="Times New Roman" w:cs="Times New Roman"/>
          <w:lang w:val="es-BO"/>
        </w:rPr>
      </w:pP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 xml:space="preserve">a </w:t>
      </w:r>
      <w:r w:rsidRPr="00FD1DC0">
        <w:rPr>
          <w:rFonts w:ascii="Times New Roman" w:hAnsi="Times New Roman" w:cs="Times New Roman"/>
          <w:color w:val="0E0D11"/>
          <w:lang w:val="es-BO"/>
        </w:rPr>
        <w:t>hip</w:t>
      </w:r>
      <w:r w:rsidRPr="00FD1DC0">
        <w:rPr>
          <w:rFonts w:ascii="Times New Roman" w:hAnsi="Times New Roman" w:cs="Times New Roman"/>
          <w:color w:val="262528"/>
          <w:lang w:val="es-BO"/>
        </w:rPr>
        <w:t>ó</w:t>
      </w:r>
      <w:r w:rsidRPr="00FD1DC0">
        <w:rPr>
          <w:rFonts w:ascii="Times New Roman" w:hAnsi="Times New Roman" w:cs="Times New Roman"/>
          <w:color w:val="0E0D11"/>
          <w:lang w:val="es-BO"/>
        </w:rPr>
        <w:t>t</w:t>
      </w:r>
      <w:r w:rsidRPr="00FD1DC0">
        <w:rPr>
          <w:rFonts w:ascii="Times New Roman" w:hAnsi="Times New Roman" w:cs="Times New Roman"/>
          <w:color w:val="262528"/>
          <w:lang w:val="es-BO"/>
        </w:rPr>
        <w:t xml:space="preserve">esis </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e va</w:t>
      </w:r>
      <w:r w:rsidRPr="00FD1DC0">
        <w:rPr>
          <w:rFonts w:ascii="Times New Roman" w:hAnsi="Times New Roman" w:cs="Times New Roman"/>
          <w:color w:val="0E0D11"/>
          <w:lang w:val="es-BO"/>
        </w:rPr>
        <w:t>ri</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za co</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s</w:t>
      </w:r>
      <w:r w:rsidRPr="00FD1DC0">
        <w:rPr>
          <w:rFonts w:ascii="Times New Roman" w:hAnsi="Times New Roman" w:cs="Times New Roman"/>
          <w:color w:val="0E0D11"/>
          <w:lang w:val="es-BO"/>
        </w:rPr>
        <w:t>t</w:t>
      </w:r>
      <w:r w:rsidRPr="00FD1DC0">
        <w:rPr>
          <w:rFonts w:ascii="Times New Roman" w:hAnsi="Times New Roman" w:cs="Times New Roman"/>
          <w:color w:val="262528"/>
          <w:lang w:val="es-BO"/>
        </w:rPr>
        <w:t xml:space="preserve">ante </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 xml:space="preserve">e </w:t>
      </w:r>
      <w:r w:rsidRPr="00FD1DC0">
        <w:rPr>
          <w:rFonts w:ascii="Times New Roman" w:hAnsi="Times New Roman" w:cs="Times New Roman"/>
          <w:color w:val="0E0D11"/>
          <w:lang w:val="es-BO"/>
        </w:rPr>
        <w:t>mu</w:t>
      </w:r>
      <w:r w:rsidRPr="00FD1DC0">
        <w:rPr>
          <w:rFonts w:ascii="Times New Roman" w:hAnsi="Times New Roman" w:cs="Times New Roman"/>
          <w:color w:val="262528"/>
          <w:lang w:val="es-BO"/>
        </w:rPr>
        <w:t>c</w:t>
      </w:r>
      <w:r w:rsidRPr="00FD1DC0">
        <w:rPr>
          <w:rFonts w:ascii="Times New Roman" w:hAnsi="Times New Roman" w:cs="Times New Roman"/>
          <w:color w:val="0E0D11"/>
          <w:lang w:val="es-BO"/>
        </w:rPr>
        <w:t>h</w:t>
      </w:r>
      <w:r w:rsidRPr="00FD1DC0">
        <w:rPr>
          <w:rFonts w:ascii="Times New Roman" w:hAnsi="Times New Roman" w:cs="Times New Roman"/>
          <w:color w:val="262528"/>
          <w:lang w:val="es-BO"/>
        </w:rPr>
        <w:t>as s</w:t>
      </w:r>
      <w:r w:rsidRPr="00FD1DC0">
        <w:rPr>
          <w:rFonts w:ascii="Times New Roman" w:hAnsi="Times New Roman" w:cs="Times New Roman"/>
          <w:color w:val="0E0D11"/>
          <w:lang w:val="es-BO"/>
        </w:rPr>
        <w:t>e</w:t>
      </w:r>
      <w:r w:rsidRPr="00FD1DC0">
        <w:rPr>
          <w:rFonts w:ascii="Times New Roman" w:hAnsi="Times New Roman" w:cs="Times New Roman"/>
          <w:color w:val="262528"/>
          <w:lang w:val="es-BO"/>
        </w:rPr>
        <w:t>r</w:t>
      </w:r>
      <w:r w:rsidRPr="00FD1DC0">
        <w:rPr>
          <w:rFonts w:ascii="Times New Roman" w:hAnsi="Times New Roman" w:cs="Times New Roman"/>
          <w:color w:val="0E0D11"/>
          <w:lang w:val="es-BO"/>
        </w:rPr>
        <w:t>i</w:t>
      </w:r>
      <w:r w:rsidRPr="00FD1DC0">
        <w:rPr>
          <w:rFonts w:ascii="Times New Roman" w:hAnsi="Times New Roman" w:cs="Times New Roman"/>
          <w:color w:val="262528"/>
          <w:lang w:val="es-BO"/>
        </w:rPr>
        <w:t>es económicas y financieras se a</w:t>
      </w:r>
      <w:r w:rsidRPr="00FD1DC0">
        <w:rPr>
          <w:rFonts w:ascii="Times New Roman" w:hAnsi="Times New Roman" w:cs="Times New Roman"/>
          <w:color w:val="0E0D11"/>
          <w:lang w:val="es-BO"/>
        </w:rPr>
        <w:t>ju</w:t>
      </w:r>
      <w:r w:rsidRPr="00FD1DC0">
        <w:rPr>
          <w:rFonts w:ascii="Times New Roman" w:hAnsi="Times New Roman" w:cs="Times New Roman"/>
          <w:color w:val="262528"/>
          <w:lang w:val="es-BO"/>
        </w:rPr>
        <w:t xml:space="preserve">sta poco a </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a re</w:t>
      </w:r>
      <w:r w:rsidRPr="00FD1DC0">
        <w:rPr>
          <w:rFonts w:ascii="Times New Roman" w:hAnsi="Times New Roman" w:cs="Times New Roman"/>
          <w:color w:val="58575B"/>
          <w:lang w:val="es-BO"/>
        </w:rPr>
        <w:t>a</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i</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 xml:space="preserve">. </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a fa</w:t>
      </w:r>
      <w:r w:rsidRPr="00FD1DC0">
        <w:rPr>
          <w:rFonts w:ascii="Times New Roman" w:hAnsi="Times New Roman" w:cs="Times New Roman"/>
          <w:color w:val="0E0D11"/>
          <w:lang w:val="es-BO"/>
        </w:rPr>
        <w:t>mi</w:t>
      </w:r>
      <w:r w:rsidRPr="00FD1DC0">
        <w:rPr>
          <w:rFonts w:ascii="Times New Roman" w:hAnsi="Times New Roman" w:cs="Times New Roman"/>
          <w:color w:val="262528"/>
          <w:lang w:val="es-BO"/>
        </w:rPr>
        <w:t>l</w:t>
      </w:r>
      <w:r w:rsidRPr="00FD1DC0">
        <w:rPr>
          <w:rFonts w:ascii="Times New Roman" w:hAnsi="Times New Roman" w:cs="Times New Roman"/>
          <w:color w:val="0E0D11"/>
          <w:lang w:val="es-BO"/>
        </w:rPr>
        <w:t>i</w:t>
      </w:r>
      <w:r w:rsidRPr="00FD1DC0">
        <w:rPr>
          <w:rFonts w:ascii="Times New Roman" w:hAnsi="Times New Roman" w:cs="Times New Roman"/>
          <w:color w:val="262528"/>
          <w:lang w:val="es-BO"/>
        </w:rPr>
        <w:t xml:space="preserve">a </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e mo</w:t>
      </w:r>
      <w:r w:rsidRPr="00FD1DC0">
        <w:rPr>
          <w:rFonts w:ascii="Times New Roman" w:hAnsi="Times New Roman" w:cs="Times New Roman"/>
          <w:color w:val="0E0D11"/>
          <w:lang w:val="es-BO"/>
        </w:rPr>
        <w:t>del</w:t>
      </w:r>
      <w:r w:rsidRPr="00FD1DC0">
        <w:rPr>
          <w:rFonts w:ascii="Times New Roman" w:hAnsi="Times New Roman" w:cs="Times New Roman"/>
          <w:color w:val="262528"/>
          <w:lang w:val="es-BO"/>
        </w:rPr>
        <w:t>os A</w:t>
      </w:r>
      <w:r w:rsidRPr="00FD1DC0">
        <w:rPr>
          <w:rFonts w:ascii="Times New Roman" w:hAnsi="Times New Roman" w:cs="Times New Roman"/>
          <w:color w:val="0E0D11"/>
          <w:lang w:val="es-BO"/>
        </w:rPr>
        <w:t>RCH</w:t>
      </w:r>
      <w:r w:rsidRPr="00FD1DC0">
        <w:rPr>
          <w:rFonts w:ascii="Times New Roman" w:hAnsi="Times New Roman" w:cs="Times New Roman"/>
          <w:color w:val="262528"/>
          <w:lang w:val="es-BO"/>
        </w:rPr>
        <w:t xml:space="preserve"> y </w:t>
      </w:r>
      <w:r w:rsidRPr="00FD1DC0">
        <w:rPr>
          <w:rFonts w:ascii="Times New Roman" w:hAnsi="Times New Roman" w:cs="Times New Roman"/>
          <w:color w:val="0E0D11"/>
          <w:lang w:val="es-BO"/>
        </w:rPr>
        <w:t>G</w:t>
      </w:r>
      <w:r w:rsidRPr="00FD1DC0">
        <w:rPr>
          <w:rFonts w:ascii="Times New Roman" w:hAnsi="Times New Roman" w:cs="Times New Roman"/>
          <w:color w:val="262528"/>
          <w:lang w:val="es-BO"/>
        </w:rPr>
        <w:t>A</w:t>
      </w:r>
      <w:r w:rsidRPr="00FD1DC0">
        <w:rPr>
          <w:rFonts w:ascii="Times New Roman" w:hAnsi="Times New Roman" w:cs="Times New Roman"/>
          <w:color w:val="000002"/>
          <w:lang w:val="es-BO"/>
        </w:rPr>
        <w:t>R</w:t>
      </w:r>
      <w:r w:rsidRPr="00FD1DC0">
        <w:rPr>
          <w:rFonts w:ascii="Times New Roman" w:hAnsi="Times New Roman" w:cs="Times New Roman"/>
          <w:color w:val="0E0D11"/>
          <w:lang w:val="es-BO"/>
        </w:rPr>
        <w:t xml:space="preserve">CH </w:t>
      </w:r>
      <w:r w:rsidRPr="00FD1DC0">
        <w:rPr>
          <w:rFonts w:ascii="Times New Roman" w:hAnsi="Times New Roman" w:cs="Times New Roman"/>
          <w:color w:val="262528"/>
          <w:lang w:val="es-BO"/>
        </w:rPr>
        <w:t>p</w:t>
      </w:r>
      <w:r w:rsidRPr="00FD1DC0">
        <w:rPr>
          <w:rFonts w:ascii="Times New Roman" w:hAnsi="Times New Roman" w:cs="Times New Roman"/>
          <w:color w:val="0E0D11"/>
          <w:lang w:val="es-BO"/>
        </w:rPr>
        <w:t>r</w:t>
      </w:r>
      <w:r w:rsidRPr="00FD1DC0">
        <w:rPr>
          <w:rFonts w:ascii="Times New Roman" w:hAnsi="Times New Roman" w:cs="Times New Roman"/>
          <w:color w:val="262528"/>
          <w:lang w:val="es-BO"/>
        </w:rPr>
        <w:t>eten</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e</w:t>
      </w:r>
      <w:r w:rsidRPr="00FD1DC0">
        <w:rPr>
          <w:rFonts w:ascii="Times New Roman" w:hAnsi="Times New Roman" w:cs="Times New Roman"/>
          <w:color w:val="0E0D11"/>
          <w:lang w:val="es-BO"/>
        </w:rPr>
        <w:t xml:space="preserve"> r</w:t>
      </w:r>
      <w:r w:rsidRPr="00FD1DC0">
        <w:rPr>
          <w:rFonts w:ascii="Times New Roman" w:hAnsi="Times New Roman" w:cs="Times New Roman"/>
          <w:color w:val="262528"/>
          <w:lang w:val="es-BO"/>
        </w:rPr>
        <w:t>eso</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ve</w:t>
      </w:r>
      <w:r w:rsidRPr="00FD1DC0">
        <w:rPr>
          <w:rFonts w:ascii="Times New Roman" w:hAnsi="Times New Roman" w:cs="Times New Roman"/>
          <w:color w:val="0E0D11"/>
          <w:lang w:val="es-BO"/>
        </w:rPr>
        <w:t xml:space="preserve">r </w:t>
      </w:r>
      <w:r w:rsidRPr="00FD1DC0">
        <w:rPr>
          <w:rFonts w:ascii="Times New Roman" w:hAnsi="Times New Roman" w:cs="Times New Roman"/>
          <w:color w:val="262528"/>
          <w:lang w:val="es-BO"/>
        </w:rPr>
        <w:t xml:space="preserve">este </w:t>
      </w:r>
      <w:r w:rsidRPr="00FD1DC0">
        <w:rPr>
          <w:rFonts w:ascii="Times New Roman" w:hAnsi="Times New Roman" w:cs="Times New Roman"/>
          <w:color w:val="0E0D11"/>
          <w:lang w:val="es-BO"/>
        </w:rPr>
        <w:t>p</w:t>
      </w:r>
      <w:r w:rsidRPr="00FD1DC0">
        <w:rPr>
          <w:rFonts w:ascii="Times New Roman" w:hAnsi="Times New Roman" w:cs="Times New Roman"/>
          <w:color w:val="262528"/>
          <w:lang w:val="es-BO"/>
        </w:rPr>
        <w:t>ro</w:t>
      </w:r>
      <w:r w:rsidRPr="00FD1DC0">
        <w:rPr>
          <w:rFonts w:ascii="Times New Roman" w:hAnsi="Times New Roman" w:cs="Times New Roman"/>
          <w:color w:val="0E0D11"/>
          <w:lang w:val="es-BO"/>
        </w:rPr>
        <w:t>b</w:t>
      </w:r>
      <w:r w:rsidRPr="00FD1DC0">
        <w:rPr>
          <w:rFonts w:ascii="Times New Roman" w:hAnsi="Times New Roman" w:cs="Times New Roman"/>
          <w:color w:val="262528"/>
          <w:lang w:val="es-BO"/>
        </w:rPr>
        <w:t>lema, y co</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s</w:t>
      </w:r>
      <w:r w:rsidRPr="00FD1DC0">
        <w:rPr>
          <w:rFonts w:ascii="Times New Roman" w:hAnsi="Times New Roman" w:cs="Times New Roman"/>
          <w:color w:val="0E0D11"/>
          <w:lang w:val="es-BO"/>
        </w:rPr>
        <w:t>ti</w:t>
      </w:r>
      <w:r w:rsidRPr="00FD1DC0">
        <w:rPr>
          <w:rFonts w:ascii="Times New Roman" w:hAnsi="Times New Roman" w:cs="Times New Roman"/>
          <w:color w:val="262528"/>
          <w:lang w:val="es-BO"/>
        </w:rPr>
        <w:t>t</w:t>
      </w:r>
      <w:r w:rsidRPr="00FD1DC0">
        <w:rPr>
          <w:rFonts w:ascii="Times New Roman" w:hAnsi="Times New Roman" w:cs="Times New Roman"/>
          <w:color w:val="0E0D11"/>
          <w:lang w:val="es-BO"/>
        </w:rPr>
        <w:t>u</w:t>
      </w:r>
      <w:r w:rsidRPr="00FD1DC0">
        <w:rPr>
          <w:rFonts w:ascii="Times New Roman" w:hAnsi="Times New Roman" w:cs="Times New Roman"/>
          <w:color w:val="262528"/>
          <w:lang w:val="es-BO"/>
        </w:rPr>
        <w:t xml:space="preserve">yen </w:t>
      </w:r>
      <w:r w:rsidRPr="00FD1DC0">
        <w:rPr>
          <w:rFonts w:ascii="Times New Roman" w:hAnsi="Times New Roman" w:cs="Times New Roman"/>
          <w:color w:val="0E0D11"/>
          <w:lang w:val="es-BO"/>
        </w:rPr>
        <w:t>un int</w:t>
      </w:r>
      <w:r w:rsidRPr="00FD1DC0">
        <w:rPr>
          <w:rFonts w:ascii="Times New Roman" w:hAnsi="Times New Roman" w:cs="Times New Roman"/>
          <w:color w:val="262528"/>
          <w:lang w:val="es-BO"/>
        </w:rPr>
        <w:t>e</w:t>
      </w:r>
      <w:r w:rsidRPr="00FD1DC0">
        <w:rPr>
          <w:rFonts w:ascii="Times New Roman" w:hAnsi="Times New Roman" w:cs="Times New Roman"/>
          <w:color w:val="0E0D11"/>
          <w:lang w:val="es-BO"/>
        </w:rPr>
        <w:t>nt</w:t>
      </w:r>
      <w:r w:rsidRPr="00FD1DC0">
        <w:rPr>
          <w:rFonts w:ascii="Times New Roman" w:hAnsi="Times New Roman" w:cs="Times New Roman"/>
          <w:color w:val="262528"/>
          <w:lang w:val="es-BO"/>
        </w:rPr>
        <w:t xml:space="preserve">o </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e co</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s</w:t>
      </w:r>
      <w:r w:rsidRPr="00FD1DC0">
        <w:rPr>
          <w:rFonts w:ascii="Times New Roman" w:hAnsi="Times New Roman" w:cs="Times New Roman"/>
          <w:color w:val="0E0D11"/>
          <w:lang w:val="es-BO"/>
        </w:rPr>
        <w:t>e</w:t>
      </w:r>
      <w:r w:rsidRPr="00FD1DC0">
        <w:rPr>
          <w:rFonts w:ascii="Times New Roman" w:hAnsi="Times New Roman" w:cs="Times New Roman"/>
          <w:color w:val="262528"/>
          <w:lang w:val="es-BO"/>
        </w:rPr>
        <w:t>g</w:t>
      </w:r>
      <w:r w:rsidRPr="00FD1DC0">
        <w:rPr>
          <w:rFonts w:ascii="Times New Roman" w:hAnsi="Times New Roman" w:cs="Times New Roman"/>
          <w:color w:val="0E0D11"/>
          <w:lang w:val="es-BO"/>
        </w:rPr>
        <w:t>ui</w:t>
      </w:r>
      <w:r w:rsidRPr="00FD1DC0">
        <w:rPr>
          <w:rFonts w:ascii="Times New Roman" w:hAnsi="Times New Roman" w:cs="Times New Roman"/>
          <w:color w:val="262528"/>
          <w:lang w:val="es-BO"/>
        </w:rPr>
        <w:t xml:space="preserve">r </w:t>
      </w:r>
      <w:r w:rsidRPr="00FD1DC0">
        <w:rPr>
          <w:rFonts w:ascii="Times New Roman" w:hAnsi="Times New Roman" w:cs="Times New Roman"/>
          <w:color w:val="0E0D11"/>
          <w:lang w:val="es-BO"/>
        </w:rPr>
        <w:t>p</w:t>
      </w:r>
      <w:r w:rsidRPr="00FD1DC0">
        <w:rPr>
          <w:rFonts w:ascii="Times New Roman" w:hAnsi="Times New Roman" w:cs="Times New Roman"/>
          <w:color w:val="262528"/>
          <w:lang w:val="es-BO"/>
        </w:rPr>
        <w:t>re</w:t>
      </w:r>
      <w:r w:rsidRPr="00FD1DC0">
        <w:rPr>
          <w:rFonts w:ascii="Times New Roman" w:hAnsi="Times New Roman" w:cs="Times New Roman"/>
          <w:color w:val="0E0D11"/>
          <w:lang w:val="es-BO"/>
        </w:rPr>
        <w:t>di</w:t>
      </w:r>
      <w:r w:rsidRPr="00FD1DC0">
        <w:rPr>
          <w:rFonts w:ascii="Times New Roman" w:hAnsi="Times New Roman" w:cs="Times New Roman"/>
          <w:color w:val="262528"/>
          <w:lang w:val="es-BO"/>
        </w:rPr>
        <w:t xml:space="preserve">ctores </w:t>
      </w:r>
      <w:r w:rsidRPr="00FD1DC0">
        <w:rPr>
          <w:rFonts w:ascii="Times New Roman" w:hAnsi="Times New Roman" w:cs="Times New Roman"/>
          <w:color w:val="0E0D11"/>
          <w:lang w:val="es-BO"/>
        </w:rPr>
        <w:t xml:space="preserve">de </w:t>
      </w:r>
      <w:r w:rsidRPr="00FD1DC0">
        <w:rPr>
          <w:rFonts w:ascii="Times New Roman" w:hAnsi="Times New Roman" w:cs="Times New Roman"/>
          <w:color w:val="262528"/>
          <w:lang w:val="es-BO"/>
        </w:rPr>
        <w:t>esa vola</w:t>
      </w:r>
      <w:r w:rsidRPr="00FD1DC0">
        <w:rPr>
          <w:rFonts w:ascii="Times New Roman" w:hAnsi="Times New Roman" w:cs="Times New Roman"/>
          <w:color w:val="0E0D11"/>
          <w:lang w:val="es-BO"/>
        </w:rPr>
        <w:t>til</w:t>
      </w:r>
      <w:r w:rsidRPr="00FD1DC0">
        <w:rPr>
          <w:rFonts w:ascii="Times New Roman" w:hAnsi="Times New Roman" w:cs="Times New Roman"/>
          <w:color w:val="262528"/>
          <w:lang w:val="es-BO"/>
        </w:rPr>
        <w:t>i</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d ut</w:t>
      </w:r>
      <w:r w:rsidRPr="00FD1DC0">
        <w:rPr>
          <w:rFonts w:ascii="Times New Roman" w:hAnsi="Times New Roman" w:cs="Times New Roman"/>
          <w:color w:val="262528"/>
          <w:lang w:val="es-BO"/>
        </w:rPr>
        <w:t>i</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iza</w:t>
      </w:r>
      <w:r w:rsidRPr="00FD1DC0">
        <w:rPr>
          <w:rFonts w:ascii="Times New Roman" w:hAnsi="Times New Roman" w:cs="Times New Roman"/>
          <w:color w:val="0E0D11"/>
          <w:lang w:val="es-BO"/>
        </w:rPr>
        <w:t>nd</w:t>
      </w:r>
      <w:r w:rsidRPr="00FD1DC0">
        <w:rPr>
          <w:rFonts w:ascii="Times New Roman" w:hAnsi="Times New Roman" w:cs="Times New Roman"/>
          <w:color w:val="262528"/>
          <w:lang w:val="es-BO"/>
        </w:rPr>
        <w:t xml:space="preserve">o </w:t>
      </w:r>
      <w:r w:rsidRPr="00FD1DC0">
        <w:rPr>
          <w:rFonts w:ascii="Times New Roman" w:hAnsi="Times New Roman" w:cs="Times New Roman"/>
          <w:color w:val="0E0D11"/>
          <w:lang w:val="es-BO"/>
        </w:rPr>
        <w:t>inf</w:t>
      </w:r>
      <w:r w:rsidRPr="00FD1DC0">
        <w:rPr>
          <w:rFonts w:ascii="Times New Roman" w:hAnsi="Times New Roman" w:cs="Times New Roman"/>
          <w:color w:val="262528"/>
          <w:lang w:val="es-BO"/>
        </w:rPr>
        <w:t>o</w:t>
      </w:r>
      <w:r w:rsidRPr="00FD1DC0">
        <w:rPr>
          <w:rFonts w:ascii="Times New Roman" w:hAnsi="Times New Roman" w:cs="Times New Roman"/>
          <w:color w:val="0E0D11"/>
          <w:lang w:val="es-BO"/>
        </w:rPr>
        <w:t>rm</w:t>
      </w:r>
      <w:r w:rsidRPr="00FD1DC0">
        <w:rPr>
          <w:rFonts w:ascii="Times New Roman" w:hAnsi="Times New Roman" w:cs="Times New Roman"/>
          <w:color w:val="262528"/>
          <w:lang w:val="es-BO"/>
        </w:rPr>
        <w:t>ació</w:t>
      </w:r>
      <w:r w:rsidRPr="00FD1DC0">
        <w:rPr>
          <w:rFonts w:ascii="Times New Roman" w:hAnsi="Times New Roman" w:cs="Times New Roman"/>
          <w:color w:val="0E0D11"/>
          <w:lang w:val="es-BO"/>
        </w:rPr>
        <w:t xml:space="preserve">n </w:t>
      </w:r>
      <w:r w:rsidRPr="00FD1DC0">
        <w:rPr>
          <w:rFonts w:ascii="Times New Roman" w:hAnsi="Times New Roman" w:cs="Times New Roman"/>
          <w:color w:val="262528"/>
          <w:lang w:val="es-BO"/>
        </w:rPr>
        <w:t>co</w:t>
      </w:r>
      <w:r w:rsidRPr="00FD1DC0">
        <w:rPr>
          <w:rFonts w:ascii="Times New Roman" w:hAnsi="Times New Roman" w:cs="Times New Roman"/>
          <w:color w:val="0E0D11"/>
          <w:lang w:val="es-BO"/>
        </w:rPr>
        <w:t>nd</w:t>
      </w:r>
      <w:r w:rsidRPr="00FD1DC0">
        <w:rPr>
          <w:rFonts w:ascii="Times New Roman" w:hAnsi="Times New Roman" w:cs="Times New Roman"/>
          <w:color w:val="262528"/>
          <w:lang w:val="es-BO"/>
        </w:rPr>
        <w:t>ic</w:t>
      </w:r>
      <w:r w:rsidRPr="00FD1DC0">
        <w:rPr>
          <w:rFonts w:ascii="Times New Roman" w:hAnsi="Times New Roman" w:cs="Times New Roman"/>
          <w:color w:val="0E0D11"/>
          <w:lang w:val="es-BO"/>
        </w:rPr>
        <w:t>i</w:t>
      </w:r>
      <w:r w:rsidRPr="00FD1DC0">
        <w:rPr>
          <w:rFonts w:ascii="Times New Roman" w:hAnsi="Times New Roman" w:cs="Times New Roman"/>
          <w:color w:val="262528"/>
          <w:lang w:val="es-BO"/>
        </w:rPr>
        <w:t>o</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 e</w:t>
      </w:r>
      <w:r w:rsidRPr="00FD1DC0">
        <w:rPr>
          <w:rFonts w:ascii="Times New Roman" w:hAnsi="Times New Roman" w:cs="Times New Roman"/>
          <w:color w:val="0E0D11"/>
          <w:lang w:val="es-BO"/>
        </w:rPr>
        <w:t xml:space="preserve">n </w:t>
      </w:r>
      <w:r w:rsidRPr="00FD1DC0">
        <w:rPr>
          <w:rFonts w:ascii="Times New Roman" w:hAnsi="Times New Roman" w:cs="Times New Roman"/>
          <w:color w:val="262528"/>
          <w:lang w:val="es-BO"/>
        </w:rPr>
        <w:t>es</w:t>
      </w:r>
      <w:r w:rsidRPr="00FD1DC0">
        <w:rPr>
          <w:rFonts w:ascii="Times New Roman" w:hAnsi="Times New Roman" w:cs="Times New Roman"/>
          <w:color w:val="0E0D11"/>
          <w:lang w:val="es-BO"/>
        </w:rPr>
        <w:t>t</w:t>
      </w:r>
      <w:r w:rsidRPr="00FD1DC0">
        <w:rPr>
          <w:rFonts w:ascii="Times New Roman" w:hAnsi="Times New Roman" w:cs="Times New Roman"/>
          <w:color w:val="262528"/>
          <w:lang w:val="es-BO"/>
        </w:rPr>
        <w:t>e caso i</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fo</w:t>
      </w:r>
      <w:r w:rsidRPr="00FD1DC0">
        <w:rPr>
          <w:rFonts w:ascii="Times New Roman" w:hAnsi="Times New Roman" w:cs="Times New Roman"/>
          <w:color w:val="0E0D11"/>
          <w:lang w:val="es-BO"/>
        </w:rPr>
        <w:t>rm</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ci</w:t>
      </w:r>
      <w:r w:rsidRPr="00FD1DC0">
        <w:rPr>
          <w:rFonts w:ascii="Times New Roman" w:hAnsi="Times New Roman" w:cs="Times New Roman"/>
          <w:color w:val="262528"/>
          <w:lang w:val="es-BO"/>
        </w:rPr>
        <w:t>ó</w:t>
      </w:r>
      <w:r w:rsidRPr="00FD1DC0">
        <w:rPr>
          <w:rFonts w:ascii="Times New Roman" w:hAnsi="Times New Roman" w:cs="Times New Roman"/>
          <w:color w:val="0E0D11"/>
          <w:lang w:val="es-BO"/>
        </w:rPr>
        <w:t>n</w:t>
      </w:r>
      <w:r w:rsidRPr="00FD1DC0">
        <w:rPr>
          <w:rFonts w:ascii="Times New Roman" w:hAnsi="Times New Roman" w:cs="Times New Roman"/>
          <w:color w:val="262528"/>
          <w:lang w:val="es-BO"/>
        </w:rPr>
        <w:t xml:space="preserve"> s</w:t>
      </w:r>
      <w:r w:rsidRPr="00FD1DC0">
        <w:rPr>
          <w:rFonts w:ascii="Times New Roman" w:hAnsi="Times New Roman" w:cs="Times New Roman"/>
          <w:color w:val="0E0D11"/>
          <w:lang w:val="es-BO"/>
        </w:rPr>
        <w:t>obr</w:t>
      </w:r>
      <w:r w:rsidRPr="00FD1DC0">
        <w:rPr>
          <w:rFonts w:ascii="Times New Roman" w:hAnsi="Times New Roman" w:cs="Times New Roman"/>
          <w:color w:val="262528"/>
          <w:lang w:val="es-BO"/>
        </w:rPr>
        <w:t xml:space="preserve">e </w:t>
      </w:r>
      <w:r w:rsidRPr="00FD1DC0">
        <w:rPr>
          <w:rFonts w:ascii="Times New Roman" w:hAnsi="Times New Roman" w:cs="Times New Roman"/>
          <w:color w:val="0E0D11"/>
          <w:lang w:val="es-BO"/>
        </w:rPr>
        <w:t>l</w:t>
      </w:r>
      <w:r w:rsidRPr="00FD1DC0">
        <w:rPr>
          <w:rFonts w:ascii="Times New Roman" w:hAnsi="Times New Roman" w:cs="Times New Roman"/>
          <w:color w:val="262528"/>
          <w:lang w:val="es-BO"/>
        </w:rPr>
        <w:t xml:space="preserve">a </w:t>
      </w:r>
      <w:r w:rsidRPr="00FD1DC0">
        <w:rPr>
          <w:rFonts w:ascii="Times New Roman" w:hAnsi="Times New Roman" w:cs="Times New Roman"/>
          <w:color w:val="0E0D11"/>
          <w:lang w:val="es-BO"/>
        </w:rPr>
        <w:t>e</w:t>
      </w:r>
      <w:r w:rsidRPr="00FD1DC0">
        <w:rPr>
          <w:rFonts w:ascii="Times New Roman" w:hAnsi="Times New Roman" w:cs="Times New Roman"/>
          <w:color w:val="262528"/>
          <w:lang w:val="es-BO"/>
        </w:rPr>
        <w:t>s</w:t>
      </w:r>
      <w:r w:rsidRPr="00FD1DC0">
        <w:rPr>
          <w:rFonts w:ascii="Times New Roman" w:hAnsi="Times New Roman" w:cs="Times New Roman"/>
          <w:color w:val="0E0D11"/>
          <w:lang w:val="es-BO"/>
        </w:rPr>
        <w:t>tr</w:t>
      </w:r>
      <w:r w:rsidRPr="00FD1DC0">
        <w:rPr>
          <w:rFonts w:ascii="Times New Roman" w:hAnsi="Times New Roman" w:cs="Times New Roman"/>
          <w:color w:val="000002"/>
          <w:lang w:val="es-BO"/>
        </w:rPr>
        <w:t>u</w:t>
      </w:r>
      <w:r w:rsidRPr="00FD1DC0">
        <w:rPr>
          <w:rFonts w:ascii="Times New Roman" w:hAnsi="Times New Roman" w:cs="Times New Roman"/>
          <w:color w:val="0E0D11"/>
          <w:lang w:val="es-BO"/>
        </w:rPr>
        <w:t>ctur</w:t>
      </w:r>
      <w:r w:rsidRPr="00FD1DC0">
        <w:rPr>
          <w:rFonts w:ascii="Times New Roman" w:hAnsi="Times New Roman" w:cs="Times New Roman"/>
          <w:color w:val="262528"/>
          <w:lang w:val="es-BO"/>
        </w:rPr>
        <w:t>a de</w:t>
      </w:r>
      <w:r w:rsidRPr="00FD1DC0">
        <w:rPr>
          <w:rFonts w:ascii="Times New Roman" w:hAnsi="Times New Roman" w:cs="Times New Roman"/>
          <w:color w:val="0E0D11"/>
          <w:lang w:val="es-BO"/>
        </w:rPr>
        <w:t>l t</w:t>
      </w:r>
      <w:r w:rsidRPr="00FD1DC0">
        <w:rPr>
          <w:rFonts w:ascii="Times New Roman" w:hAnsi="Times New Roman" w:cs="Times New Roman"/>
          <w:color w:val="262528"/>
          <w:lang w:val="es-BO"/>
        </w:rPr>
        <w:t>é</w:t>
      </w:r>
      <w:r w:rsidRPr="00FD1DC0">
        <w:rPr>
          <w:rFonts w:ascii="Times New Roman" w:hAnsi="Times New Roman" w:cs="Times New Roman"/>
          <w:color w:val="0E0D11"/>
          <w:lang w:val="es-BO"/>
        </w:rPr>
        <w:t>rmin</w:t>
      </w:r>
      <w:r w:rsidRPr="00FD1DC0">
        <w:rPr>
          <w:rFonts w:ascii="Times New Roman" w:hAnsi="Times New Roman" w:cs="Times New Roman"/>
          <w:color w:val="262528"/>
          <w:lang w:val="es-BO"/>
        </w:rPr>
        <w:t xml:space="preserve">o </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e erro</w:t>
      </w:r>
      <w:r w:rsidRPr="00FD1DC0">
        <w:rPr>
          <w:rFonts w:ascii="Times New Roman" w:hAnsi="Times New Roman" w:cs="Times New Roman"/>
          <w:color w:val="0E0D11"/>
          <w:lang w:val="es-BO"/>
        </w:rPr>
        <w:t>r</w:t>
      </w:r>
      <w:r w:rsidRPr="00FD1DC0">
        <w:rPr>
          <w:rFonts w:ascii="Times New Roman" w:hAnsi="Times New Roman" w:cs="Times New Roman"/>
          <w:color w:val="262528"/>
          <w:lang w:val="es-BO"/>
        </w:rPr>
        <w:t xml:space="preserve">, </w:t>
      </w:r>
      <w:r w:rsidRPr="00FD1DC0">
        <w:rPr>
          <w:rFonts w:ascii="Times New Roman" w:hAnsi="Times New Roman" w:cs="Times New Roman"/>
          <w:color w:val="0E0D11"/>
          <w:lang w:val="es-BO"/>
        </w:rPr>
        <w:t>qu</w:t>
      </w:r>
      <w:r w:rsidRPr="00FD1DC0">
        <w:rPr>
          <w:rFonts w:ascii="Times New Roman" w:hAnsi="Times New Roman" w:cs="Times New Roman"/>
          <w:color w:val="262528"/>
          <w:lang w:val="es-BO"/>
        </w:rPr>
        <w:t xml:space="preserve">e </w:t>
      </w:r>
      <w:r w:rsidRPr="00FD1DC0">
        <w:rPr>
          <w:rFonts w:ascii="Times New Roman" w:hAnsi="Times New Roman" w:cs="Times New Roman"/>
          <w:color w:val="0E0D11"/>
          <w:lang w:val="es-BO"/>
        </w:rPr>
        <w:t>p</w:t>
      </w:r>
      <w:r w:rsidRPr="00FD1DC0">
        <w:rPr>
          <w:rFonts w:ascii="Times New Roman" w:hAnsi="Times New Roman" w:cs="Times New Roman"/>
          <w:color w:val="262528"/>
          <w:lang w:val="es-BO"/>
        </w:rPr>
        <w:t>er</w:t>
      </w:r>
      <w:r w:rsidRPr="00FD1DC0">
        <w:rPr>
          <w:rFonts w:ascii="Times New Roman" w:hAnsi="Times New Roman" w:cs="Times New Roman"/>
          <w:color w:val="0E0D11"/>
          <w:lang w:val="es-BO"/>
        </w:rPr>
        <w:t>m</w:t>
      </w:r>
      <w:r w:rsidRPr="00FD1DC0">
        <w:rPr>
          <w:rFonts w:ascii="Times New Roman" w:hAnsi="Times New Roman" w:cs="Times New Roman"/>
          <w:color w:val="262528"/>
          <w:lang w:val="es-BO"/>
        </w:rPr>
        <w:t>i</w:t>
      </w:r>
      <w:r w:rsidRPr="00FD1DC0">
        <w:rPr>
          <w:rFonts w:ascii="Times New Roman" w:hAnsi="Times New Roman" w:cs="Times New Roman"/>
          <w:color w:val="0E0D11"/>
          <w:lang w:val="es-BO"/>
        </w:rPr>
        <w:t>t</w:t>
      </w:r>
      <w:r w:rsidRPr="00FD1DC0">
        <w:rPr>
          <w:rFonts w:ascii="Times New Roman" w:hAnsi="Times New Roman" w:cs="Times New Roman"/>
          <w:color w:val="262528"/>
          <w:lang w:val="es-BO"/>
        </w:rPr>
        <w:t xml:space="preserve">a </w:t>
      </w:r>
      <w:r w:rsidRPr="00FD1DC0">
        <w:rPr>
          <w:rFonts w:ascii="Times New Roman" w:hAnsi="Times New Roman" w:cs="Times New Roman"/>
          <w:color w:val="0E0D11"/>
          <w:lang w:val="es-BO"/>
        </w:rPr>
        <w:t>lle</w:t>
      </w:r>
      <w:r w:rsidRPr="00FD1DC0">
        <w:rPr>
          <w:rFonts w:ascii="Times New Roman" w:hAnsi="Times New Roman" w:cs="Times New Roman"/>
          <w:color w:val="262528"/>
          <w:lang w:val="es-BO"/>
        </w:rPr>
        <w:t>var a ca</w:t>
      </w:r>
      <w:r w:rsidRPr="00FD1DC0">
        <w:rPr>
          <w:rFonts w:ascii="Times New Roman" w:hAnsi="Times New Roman" w:cs="Times New Roman"/>
          <w:color w:val="0E0D11"/>
          <w:lang w:val="es-BO"/>
        </w:rPr>
        <w:t>b</w:t>
      </w:r>
      <w:r w:rsidRPr="00FD1DC0">
        <w:rPr>
          <w:rFonts w:ascii="Times New Roman" w:hAnsi="Times New Roman" w:cs="Times New Roman"/>
          <w:color w:val="262528"/>
          <w:lang w:val="es-BO"/>
        </w:rPr>
        <w:t xml:space="preserve">o </w:t>
      </w:r>
      <w:r w:rsidRPr="00FD1DC0">
        <w:rPr>
          <w:rFonts w:ascii="Times New Roman" w:hAnsi="Times New Roman" w:cs="Times New Roman"/>
          <w:color w:val="0E0D11"/>
          <w:lang w:val="es-BO"/>
        </w:rPr>
        <w:t>una e</w:t>
      </w:r>
      <w:r w:rsidRPr="00FD1DC0">
        <w:rPr>
          <w:rFonts w:ascii="Times New Roman" w:hAnsi="Times New Roman" w:cs="Times New Roman"/>
          <w:color w:val="262528"/>
          <w:lang w:val="es-BO"/>
        </w:rPr>
        <w:t>s</w:t>
      </w:r>
      <w:r w:rsidRPr="00FD1DC0">
        <w:rPr>
          <w:rFonts w:ascii="Times New Roman" w:hAnsi="Times New Roman" w:cs="Times New Roman"/>
          <w:color w:val="0E0D11"/>
          <w:lang w:val="es-BO"/>
        </w:rPr>
        <w:t>tim</w:t>
      </w:r>
      <w:r w:rsidRPr="00FD1DC0">
        <w:rPr>
          <w:rFonts w:ascii="Times New Roman" w:hAnsi="Times New Roman" w:cs="Times New Roman"/>
          <w:color w:val="262528"/>
          <w:lang w:val="es-BO"/>
        </w:rPr>
        <w:t>ac</w:t>
      </w:r>
      <w:r w:rsidRPr="00FD1DC0">
        <w:rPr>
          <w:rFonts w:ascii="Times New Roman" w:hAnsi="Times New Roman" w:cs="Times New Roman"/>
          <w:color w:val="0E0D11"/>
          <w:lang w:val="es-BO"/>
        </w:rPr>
        <w:t>i</w:t>
      </w:r>
      <w:r w:rsidRPr="00FD1DC0">
        <w:rPr>
          <w:rFonts w:ascii="Times New Roman" w:hAnsi="Times New Roman" w:cs="Times New Roman"/>
          <w:color w:val="262528"/>
          <w:lang w:val="es-BO"/>
        </w:rPr>
        <w:t>ó</w:t>
      </w:r>
      <w:r w:rsidRPr="00FD1DC0">
        <w:rPr>
          <w:rFonts w:ascii="Times New Roman" w:hAnsi="Times New Roman" w:cs="Times New Roman"/>
          <w:color w:val="0E0D11"/>
          <w:lang w:val="es-BO"/>
        </w:rPr>
        <w:t>n de l</w:t>
      </w:r>
      <w:r w:rsidRPr="00FD1DC0">
        <w:rPr>
          <w:rFonts w:ascii="Times New Roman" w:hAnsi="Times New Roman" w:cs="Times New Roman"/>
          <w:color w:val="262528"/>
          <w:lang w:val="es-BO"/>
        </w:rPr>
        <w:t>a v</w:t>
      </w:r>
      <w:r w:rsidRPr="00FD1DC0">
        <w:rPr>
          <w:rFonts w:ascii="Times New Roman" w:hAnsi="Times New Roman" w:cs="Times New Roman"/>
          <w:color w:val="0E0D11"/>
          <w:lang w:val="es-BO"/>
        </w:rPr>
        <w:t>ol</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ti</w:t>
      </w:r>
      <w:r w:rsidRPr="00FD1DC0">
        <w:rPr>
          <w:rFonts w:ascii="Times New Roman" w:hAnsi="Times New Roman" w:cs="Times New Roman"/>
          <w:color w:val="000002"/>
          <w:lang w:val="es-BO"/>
        </w:rPr>
        <w:t>l</w:t>
      </w:r>
      <w:r w:rsidRPr="00FD1DC0">
        <w:rPr>
          <w:rFonts w:ascii="Times New Roman" w:hAnsi="Times New Roman" w:cs="Times New Roman"/>
          <w:color w:val="0E0D11"/>
          <w:lang w:val="es-BO"/>
        </w:rPr>
        <w:t>id</w:t>
      </w:r>
      <w:r w:rsidRPr="00FD1DC0">
        <w:rPr>
          <w:rFonts w:ascii="Times New Roman" w:hAnsi="Times New Roman" w:cs="Times New Roman"/>
          <w:color w:val="262528"/>
          <w:lang w:val="es-BO"/>
        </w:rPr>
        <w:t>a</w:t>
      </w:r>
      <w:r w:rsidRPr="00FD1DC0">
        <w:rPr>
          <w:rFonts w:ascii="Times New Roman" w:hAnsi="Times New Roman" w:cs="Times New Roman"/>
          <w:color w:val="0E0D11"/>
          <w:lang w:val="es-BO"/>
        </w:rPr>
        <w:t xml:space="preserve">d </w:t>
      </w:r>
      <w:r w:rsidRPr="00FD1DC0">
        <w:rPr>
          <w:rFonts w:ascii="Times New Roman" w:hAnsi="Times New Roman" w:cs="Times New Roman"/>
          <w:color w:val="000002"/>
          <w:lang w:val="es-BO"/>
        </w:rPr>
        <w:t>d</w:t>
      </w:r>
      <w:r w:rsidRPr="00FD1DC0">
        <w:rPr>
          <w:rFonts w:ascii="Times New Roman" w:hAnsi="Times New Roman" w:cs="Times New Roman"/>
          <w:color w:val="0E0D11"/>
          <w:lang w:val="es-BO"/>
        </w:rPr>
        <w:t>e la variable en estudio</w:t>
      </w:r>
      <w:r w:rsidRPr="00FD1DC0">
        <w:rPr>
          <w:rFonts w:ascii="Times New Roman" w:hAnsi="Times New Roman" w:cs="Times New Roman"/>
          <w:color w:val="262528"/>
          <w:lang w:val="es-BO"/>
        </w:rPr>
        <w:t xml:space="preserve"> </w:t>
      </w:r>
      <w:r w:rsidRPr="00FD1DC0">
        <w:rPr>
          <w:rFonts w:ascii="Times New Roman" w:hAnsi="Times New Roman" w:cs="Times New Roman"/>
          <w:color w:val="0E0D11"/>
          <w:lang w:val="es-BO"/>
        </w:rPr>
        <w:t>d</w:t>
      </w:r>
      <w:r w:rsidRPr="00FD1DC0">
        <w:rPr>
          <w:rFonts w:ascii="Times New Roman" w:hAnsi="Times New Roman" w:cs="Times New Roman"/>
          <w:color w:val="000002"/>
          <w:lang w:val="es-BO"/>
        </w:rPr>
        <w:t>u</w:t>
      </w:r>
      <w:r w:rsidRPr="00FD1DC0">
        <w:rPr>
          <w:rFonts w:ascii="Times New Roman" w:hAnsi="Times New Roman" w:cs="Times New Roman"/>
          <w:color w:val="262528"/>
          <w:lang w:val="es-BO"/>
        </w:rPr>
        <w:t>r</w:t>
      </w:r>
      <w:r w:rsidRPr="00FD1DC0">
        <w:rPr>
          <w:rFonts w:ascii="Times New Roman" w:hAnsi="Times New Roman" w:cs="Times New Roman"/>
          <w:color w:val="0E0D11"/>
          <w:lang w:val="es-BO"/>
        </w:rPr>
        <w:t>an</w:t>
      </w:r>
      <w:r w:rsidRPr="00FD1DC0">
        <w:rPr>
          <w:rFonts w:ascii="Times New Roman" w:hAnsi="Times New Roman" w:cs="Times New Roman"/>
          <w:color w:val="000002"/>
          <w:lang w:val="es-BO"/>
        </w:rPr>
        <w:t>t</w:t>
      </w:r>
      <w:r w:rsidRPr="00FD1DC0">
        <w:rPr>
          <w:rFonts w:ascii="Times New Roman" w:hAnsi="Times New Roman" w:cs="Times New Roman"/>
          <w:color w:val="0E0D11"/>
          <w:lang w:val="es-BO"/>
        </w:rPr>
        <w:t>e p</w:t>
      </w:r>
      <w:r w:rsidRPr="00FD1DC0">
        <w:rPr>
          <w:rFonts w:ascii="Times New Roman" w:hAnsi="Times New Roman" w:cs="Times New Roman"/>
          <w:color w:val="262528"/>
          <w:lang w:val="es-BO"/>
        </w:rPr>
        <w:t>erío</w:t>
      </w:r>
      <w:r w:rsidRPr="00FD1DC0">
        <w:rPr>
          <w:rFonts w:ascii="Times New Roman" w:hAnsi="Times New Roman" w:cs="Times New Roman"/>
          <w:color w:val="0E0D11"/>
          <w:lang w:val="es-BO"/>
        </w:rPr>
        <w:t>d</w:t>
      </w:r>
      <w:r w:rsidRPr="00FD1DC0">
        <w:rPr>
          <w:rFonts w:ascii="Times New Roman" w:hAnsi="Times New Roman" w:cs="Times New Roman"/>
          <w:color w:val="262528"/>
          <w:lang w:val="es-BO"/>
        </w:rPr>
        <w:t xml:space="preserve">os </w:t>
      </w:r>
      <w:r w:rsidRPr="00FD1DC0">
        <w:rPr>
          <w:rFonts w:ascii="Times New Roman" w:hAnsi="Times New Roman" w:cs="Times New Roman"/>
          <w:color w:val="0E0D11"/>
          <w:lang w:val="es-BO"/>
        </w:rPr>
        <w:t>m</w:t>
      </w:r>
      <w:r w:rsidRPr="00FD1DC0">
        <w:rPr>
          <w:rFonts w:ascii="Times New Roman" w:hAnsi="Times New Roman" w:cs="Times New Roman"/>
          <w:color w:val="262528"/>
          <w:lang w:val="es-BO"/>
        </w:rPr>
        <w:t xml:space="preserve">ás </w:t>
      </w:r>
      <w:r w:rsidRPr="00FD1DC0">
        <w:rPr>
          <w:rFonts w:ascii="Times New Roman" w:hAnsi="Times New Roman" w:cs="Times New Roman"/>
          <w:color w:val="0E0D11"/>
          <w:lang w:val="es-BO"/>
        </w:rPr>
        <w:t>co</w:t>
      </w:r>
      <w:r w:rsidRPr="00FD1DC0">
        <w:rPr>
          <w:rFonts w:ascii="Times New Roman" w:hAnsi="Times New Roman" w:cs="Times New Roman"/>
          <w:color w:val="262528"/>
          <w:lang w:val="es-BO"/>
        </w:rPr>
        <w:t>r</w:t>
      </w:r>
      <w:r w:rsidRPr="00FD1DC0">
        <w:rPr>
          <w:rFonts w:ascii="Times New Roman" w:hAnsi="Times New Roman" w:cs="Times New Roman"/>
          <w:color w:val="0E0D11"/>
          <w:lang w:val="es-BO"/>
        </w:rPr>
        <w:t>t</w:t>
      </w:r>
      <w:r w:rsidRPr="00FD1DC0">
        <w:rPr>
          <w:rFonts w:ascii="Times New Roman" w:hAnsi="Times New Roman" w:cs="Times New Roman"/>
          <w:color w:val="262528"/>
          <w:lang w:val="es-BO"/>
        </w:rPr>
        <w:t>os</w:t>
      </w:r>
      <w:r w:rsidRPr="00FD1DC0">
        <w:rPr>
          <w:rFonts w:ascii="Times New Roman" w:hAnsi="Times New Roman" w:cs="Times New Roman"/>
          <w:color w:val="0E0D11"/>
          <w:lang w:val="es-BO"/>
        </w:rPr>
        <w:t xml:space="preserve">. </w:t>
      </w:r>
    </w:p>
    <w:p w14:paraId="183D8A84" w14:textId="03719928" w:rsidR="00746790" w:rsidRPr="00FD1DC0" w:rsidRDefault="006A3E9D" w:rsidP="00391E1B">
      <w:pPr>
        <w:pStyle w:val="Ttulo4"/>
        <w:spacing w:after="0" w:line="360" w:lineRule="auto"/>
        <w:ind w:left="45"/>
        <w:jc w:val="left"/>
        <w:rPr>
          <w:rFonts w:ascii="Times New Roman" w:hAnsi="Times New Roman" w:cs="Times New Roman"/>
          <w:color w:val="262528"/>
          <w:sz w:val="24"/>
          <w:szCs w:val="24"/>
          <w:lang w:val="es-BO"/>
        </w:rPr>
      </w:pPr>
      <w:r w:rsidRPr="00FD1DC0">
        <w:rPr>
          <w:rFonts w:ascii="Times New Roman" w:hAnsi="Times New Roman" w:cs="Times New Roman"/>
          <w:sz w:val="24"/>
          <w:szCs w:val="24"/>
          <w:lang w:val="es-BO"/>
        </w:rPr>
        <w:t>3</w:t>
      </w:r>
      <w:r w:rsidR="006846B6">
        <w:rPr>
          <w:rFonts w:ascii="Times New Roman" w:hAnsi="Times New Roman" w:cs="Times New Roman"/>
          <w:sz w:val="24"/>
          <w:szCs w:val="24"/>
          <w:lang w:val="es-BO"/>
        </w:rPr>
        <w:t>.2</w:t>
      </w:r>
      <w:r w:rsidR="00975C75" w:rsidRPr="00FD1DC0">
        <w:rPr>
          <w:rFonts w:ascii="Times New Roman" w:hAnsi="Times New Roman" w:cs="Times New Roman"/>
          <w:sz w:val="24"/>
          <w:szCs w:val="24"/>
          <w:lang w:val="es-BO"/>
        </w:rPr>
        <w:t xml:space="preserve"> </w:t>
      </w:r>
      <w:r w:rsidR="00E9600B" w:rsidRPr="00FD1DC0">
        <w:rPr>
          <w:rFonts w:ascii="Times New Roman" w:hAnsi="Times New Roman" w:cs="Times New Roman"/>
          <w:color w:val="262528"/>
          <w:sz w:val="24"/>
          <w:szCs w:val="24"/>
          <w:lang w:val="es-BO"/>
        </w:rPr>
        <w:t xml:space="preserve"> </w:t>
      </w:r>
      <w:r w:rsidR="004926AE" w:rsidRPr="00FD1DC0">
        <w:rPr>
          <w:rFonts w:ascii="Times New Roman" w:hAnsi="Times New Roman" w:cs="Times New Roman"/>
          <w:color w:val="262528"/>
          <w:sz w:val="24"/>
          <w:szCs w:val="24"/>
          <w:lang w:val="es-BO"/>
        </w:rPr>
        <w:t>M</w:t>
      </w:r>
      <w:r w:rsidR="00A23FEB" w:rsidRPr="00FD1DC0">
        <w:rPr>
          <w:rFonts w:ascii="Times New Roman" w:hAnsi="Times New Roman" w:cs="Times New Roman"/>
          <w:color w:val="262528"/>
          <w:sz w:val="24"/>
          <w:szCs w:val="24"/>
          <w:lang w:val="es-BO"/>
        </w:rPr>
        <w:t xml:space="preserve">odelos </w:t>
      </w:r>
      <w:r w:rsidR="000551D8" w:rsidRPr="00FD1DC0">
        <w:rPr>
          <w:rFonts w:ascii="Times New Roman" w:hAnsi="Times New Roman" w:cs="Times New Roman"/>
          <w:color w:val="262528"/>
          <w:sz w:val="24"/>
          <w:szCs w:val="24"/>
          <w:lang w:val="es-BO"/>
        </w:rPr>
        <w:t xml:space="preserve">de las Familias </w:t>
      </w:r>
      <w:r w:rsidR="00686B5C" w:rsidRPr="00FD1DC0">
        <w:rPr>
          <w:rFonts w:ascii="Times New Roman" w:hAnsi="Times New Roman" w:cs="Times New Roman"/>
          <w:color w:val="262528"/>
          <w:sz w:val="24"/>
          <w:szCs w:val="24"/>
          <w:lang w:val="es-BO"/>
        </w:rPr>
        <w:t>GARCH</w:t>
      </w:r>
      <w:r w:rsidR="004926AE" w:rsidRPr="00FD1DC0">
        <w:rPr>
          <w:rFonts w:ascii="Times New Roman" w:hAnsi="Times New Roman" w:cs="Times New Roman"/>
          <w:color w:val="262528"/>
          <w:sz w:val="24"/>
          <w:szCs w:val="24"/>
          <w:lang w:val="es-BO"/>
        </w:rPr>
        <w:t xml:space="preserve">  </w:t>
      </w:r>
    </w:p>
    <w:p w14:paraId="0BF7999C" w14:textId="20586E06" w:rsidR="00A23FEB" w:rsidRPr="00FD1DC0" w:rsidRDefault="00A23FEB" w:rsidP="00391E1B">
      <w:pPr>
        <w:autoSpaceDE w:val="0"/>
        <w:autoSpaceDN w:val="0"/>
        <w:adjustRightInd w:val="0"/>
        <w:spacing w:after="0" w:line="360" w:lineRule="auto"/>
        <w:ind w:left="0" w:right="0" w:firstLine="0"/>
        <w:rPr>
          <w:rFonts w:ascii="Times New Roman" w:eastAsia="Arial Unicode MS" w:hAnsi="Times New Roman" w:cs="Times New Roman"/>
          <w:color w:val="auto"/>
          <w:szCs w:val="24"/>
          <w:lang w:val="es-ES" w:eastAsia="es-ES"/>
        </w:rPr>
      </w:pPr>
      <w:r w:rsidRPr="00FD1DC0">
        <w:rPr>
          <w:rFonts w:ascii="Times New Roman" w:eastAsia="Arial Unicode MS" w:hAnsi="Times New Roman" w:cs="Times New Roman"/>
          <w:color w:val="auto"/>
          <w:szCs w:val="24"/>
          <w:lang w:val="es-ES" w:eastAsia="es-ES"/>
        </w:rPr>
        <w:t>En este apartado daremos a conocer de manera breve los modelos de las familias GARH que utilizaremos en nuestro trabajo de investigación.</w:t>
      </w:r>
    </w:p>
    <w:p w14:paraId="7AF7E066" w14:textId="0EAB7F52" w:rsidR="00BD7E62" w:rsidRPr="00FD1DC0" w:rsidRDefault="00BD7E62" w:rsidP="0007392C">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ES" w:eastAsia="es-ES"/>
        </w:rPr>
      </w:pPr>
      <w:r w:rsidRPr="00FD1DC0">
        <w:rPr>
          <w:rFonts w:ascii="Times New Roman" w:eastAsia="Arial Unicode MS" w:hAnsi="Times New Roman" w:cs="Times New Roman"/>
          <w:color w:val="auto"/>
          <w:szCs w:val="24"/>
          <w:lang w:val="es-ES" w:eastAsia="es-ES"/>
        </w:rPr>
        <w:t xml:space="preserve">Asimismo, </w:t>
      </w:r>
      <w:r w:rsidRPr="00FD1DC0">
        <w:rPr>
          <w:rFonts w:ascii="Times New Roman" w:eastAsia="Times New Roman" w:hAnsi="Times New Roman" w:cs="Times New Roman"/>
          <w:color w:val="auto"/>
          <w:szCs w:val="24"/>
          <w:lang w:val="es-ES" w:eastAsia="es-ES"/>
        </w:rPr>
        <w:t xml:space="preserve">respecto a la utilidad y empleo de los modelos GARCH, existen, por lo menos, dos recopilaciones muy significativas sobre ello. Son las </w:t>
      </w:r>
      <w:r w:rsidR="001B22E6" w:rsidRPr="00FD1DC0">
        <w:rPr>
          <w:rFonts w:ascii="Times New Roman" w:eastAsia="Times New Roman" w:hAnsi="Times New Roman" w:cs="Times New Roman"/>
          <w:color w:val="auto"/>
          <w:szCs w:val="24"/>
          <w:lang w:val="es-ES" w:eastAsia="es-ES"/>
        </w:rPr>
        <w:t>de Bollerslev (</w:t>
      </w:r>
      <w:r w:rsidRPr="00FD1DC0">
        <w:rPr>
          <w:rFonts w:ascii="Times New Roman" w:eastAsia="Times New Roman" w:hAnsi="Times New Roman" w:cs="Times New Roman"/>
          <w:color w:val="auto"/>
          <w:szCs w:val="24"/>
          <w:lang w:val="es-ES" w:eastAsia="es-ES"/>
        </w:rPr>
        <w:t>1992 y 1994</w:t>
      </w:r>
      <w:r w:rsidR="001B22E6" w:rsidRPr="00FD1DC0">
        <w:rPr>
          <w:rFonts w:ascii="Times New Roman" w:eastAsia="Times New Roman" w:hAnsi="Times New Roman" w:cs="Times New Roman"/>
          <w:color w:val="auto"/>
          <w:szCs w:val="24"/>
          <w:lang w:val="es-ES" w:eastAsia="es-ES"/>
        </w:rPr>
        <w:t>)</w:t>
      </w:r>
      <w:r w:rsidRPr="00FD1DC0">
        <w:rPr>
          <w:rFonts w:ascii="Times New Roman" w:eastAsia="Times New Roman" w:hAnsi="Times New Roman" w:cs="Times New Roman"/>
          <w:color w:val="auto"/>
          <w:szCs w:val="24"/>
          <w:lang w:val="es-ES" w:eastAsia="es-ES"/>
        </w:rPr>
        <w:t xml:space="preserve">. Con frecuencia, las aplicaciones se han centrado en el campo de la economía financiera y, más concretamente, en la aplicación de teorías tipo de valoración de riesgos en la construcción de carteras de inversión a partir de una conveniente modelización de la volatilidad o varianza de una determinada variable. </w:t>
      </w:r>
    </w:p>
    <w:p w14:paraId="12689BB3" w14:textId="77777777" w:rsidR="00BD7E62" w:rsidRPr="00FD1DC0" w:rsidRDefault="00BD7E62" w:rsidP="00BD7E62">
      <w:pPr>
        <w:autoSpaceDE w:val="0"/>
        <w:autoSpaceDN w:val="0"/>
        <w:adjustRightInd w:val="0"/>
        <w:spacing w:after="0" w:line="360" w:lineRule="auto"/>
        <w:ind w:left="0" w:right="0" w:firstLine="0"/>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szCs w:val="24"/>
          <w:lang w:val="es-ES" w:eastAsia="es-ES"/>
        </w:rPr>
        <w:t xml:space="preserve">Con respecto al modelo 1 del cuadro 1 el premio Nobel de economía </w:t>
      </w:r>
      <w:r w:rsidRPr="00FD1DC0">
        <w:rPr>
          <w:rFonts w:ascii="Times New Roman" w:eastAsia="Times New Roman" w:hAnsi="Times New Roman" w:cs="Times New Roman"/>
          <w:color w:val="auto"/>
          <w:szCs w:val="24"/>
          <w:lang w:val="es-MX" w:eastAsia="es-ES"/>
        </w:rPr>
        <w:t xml:space="preserve">Robert Engle (1982) realiza una estimación de la volatilidad de la inflación para el Reino Unido utilizando para los mismos modelos de heterocedasticidad condicional ARCH, con relación a los modelos GARCH (modelo 2, cuadro 1) </w:t>
      </w:r>
      <w:r w:rsidRPr="00FD1DC0">
        <w:rPr>
          <w:rFonts w:ascii="Times New Roman" w:eastAsia="Times New Roman" w:hAnsi="Times New Roman" w:cs="Times New Roman"/>
          <w:szCs w:val="24"/>
          <w:lang w:val="es-ES" w:eastAsia="es-ES"/>
        </w:rPr>
        <w:t>son capaces de recoger los agrupamientos de volatilidad que se observan en las series de rendimientos financieros, pero no es útil para captar comportamientos asimétricos ante innovaciones de carácter positivo o negativo.</w:t>
      </w:r>
    </w:p>
    <w:p w14:paraId="5229D235" w14:textId="77777777" w:rsidR="00BD7E62" w:rsidRPr="00FD1DC0" w:rsidRDefault="00BD7E62" w:rsidP="00BD7E62">
      <w:pPr>
        <w:autoSpaceDE w:val="0"/>
        <w:autoSpaceDN w:val="0"/>
        <w:adjustRightInd w:val="0"/>
        <w:spacing w:after="0" w:line="360" w:lineRule="auto"/>
        <w:ind w:left="0" w:right="0" w:firstLine="0"/>
        <w:rPr>
          <w:rFonts w:ascii="Times New Roman" w:eastAsia="Arial Unicode MS" w:hAnsi="Times New Roman" w:cs="Times New Roman"/>
          <w:color w:val="auto"/>
          <w:szCs w:val="24"/>
          <w:lang w:val="es-MX" w:eastAsia="es-ES"/>
        </w:rPr>
      </w:pPr>
      <w:r w:rsidRPr="00FD1DC0">
        <w:rPr>
          <w:rFonts w:ascii="Times New Roman" w:eastAsia="Times New Roman" w:hAnsi="Times New Roman" w:cs="Times New Roman"/>
          <w:szCs w:val="24"/>
          <w:lang w:val="es-ES" w:eastAsia="es-ES"/>
        </w:rPr>
        <w:t xml:space="preserve">Respecto a los modelos TGARCH </w:t>
      </w:r>
      <w:r w:rsidRPr="00FD1DC0">
        <w:rPr>
          <w:rFonts w:ascii="Times New Roman" w:eastAsia="Times New Roman" w:hAnsi="Times New Roman" w:cs="Times New Roman"/>
          <w:color w:val="auto"/>
          <w:szCs w:val="24"/>
          <w:lang w:val="es-MX" w:eastAsia="es-ES"/>
        </w:rPr>
        <w:t xml:space="preserve">(modelo 3, cuadro 1) podemos afirmar que </w:t>
      </w:r>
      <w:r w:rsidRPr="00FD1DC0">
        <w:rPr>
          <w:rFonts w:ascii="Times New Roman" w:eastAsia="Arial Unicode MS" w:hAnsi="Times New Roman" w:cs="Times New Roman"/>
          <w:color w:val="auto"/>
          <w:szCs w:val="24"/>
          <w:lang w:val="es-MX" w:eastAsia="es-ES"/>
        </w:rPr>
        <w:t>una desventaja que presenta la especificación GARCH es que impone simetría en los shocks de depreciación cambiaria. El coeficiente del termino ARCH (</w:t>
      </w:r>
      <w:r w:rsidRPr="00FD1DC0">
        <w:rPr>
          <w:rFonts w:ascii="Times New Roman" w:eastAsia="Times New Roman" w:hAnsi="Times New Roman" w:cs="Times New Roman"/>
          <w:color w:val="auto"/>
          <w:position w:val="-10"/>
          <w:szCs w:val="24"/>
          <w:lang w:val="es-ES" w:eastAsia="es-ES"/>
        </w:rPr>
        <w:object w:dxaOrig="279" w:dyaOrig="340" w14:anchorId="415BD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5pt;height:14.5pt" o:ole="">
            <v:imagedata r:id="rId18" o:title=""/>
          </v:shape>
          <o:OLEObject Type="Embed" ProgID="Equation.3" ShapeID="_x0000_i1032" DrawAspect="Content" ObjectID="_1772226504" r:id="rId19"/>
        </w:object>
      </w:r>
      <w:r w:rsidRPr="00FD1DC0">
        <w:rPr>
          <w:rFonts w:ascii="Times New Roman" w:eastAsia="Arial Unicode MS" w:hAnsi="Times New Roman" w:cs="Times New Roman"/>
          <w:color w:val="auto"/>
          <w:szCs w:val="24"/>
          <w:lang w:val="es-MX" w:eastAsia="es-ES"/>
        </w:rPr>
        <w:t xml:space="preserve">) del Modelo GARCH (1,1) del modelo 2, recoge los efectos de los shocks sin distinguir entre el signo de los mismos. Si la varianza condicional de los errores responde de manera distinta a shocks negativos y positivos, se estaría incurriendo en un error de especificación en la especificación GARCH (1,1). </w:t>
      </w:r>
    </w:p>
    <w:p w14:paraId="29720D3A" w14:textId="77777777" w:rsidR="00BD7E62" w:rsidRPr="00FD1DC0" w:rsidRDefault="00BD7E62" w:rsidP="00BD7E62">
      <w:pPr>
        <w:autoSpaceDE w:val="0"/>
        <w:autoSpaceDN w:val="0"/>
        <w:adjustRightInd w:val="0"/>
        <w:spacing w:after="0" w:line="360" w:lineRule="auto"/>
        <w:ind w:left="0" w:right="0" w:firstLine="0"/>
        <w:rPr>
          <w:rFonts w:ascii="Times New Roman" w:eastAsia="Arial Unicode MS" w:hAnsi="Times New Roman" w:cs="Times New Roman"/>
          <w:color w:val="auto"/>
          <w:szCs w:val="24"/>
          <w:lang w:val="es-ES" w:eastAsia="es-ES"/>
        </w:rPr>
      </w:pPr>
      <w:r w:rsidRPr="00FD1DC0">
        <w:rPr>
          <w:rFonts w:ascii="Times New Roman" w:eastAsia="Arial Unicode MS" w:hAnsi="Times New Roman" w:cs="Times New Roman"/>
          <w:color w:val="auto"/>
          <w:szCs w:val="24"/>
          <w:lang w:val="es-MX" w:eastAsia="es-ES"/>
        </w:rPr>
        <w:t xml:space="preserve">El modelo EGARCH </w:t>
      </w:r>
      <w:r w:rsidRPr="00FD1DC0">
        <w:rPr>
          <w:rFonts w:ascii="Times New Roman" w:eastAsia="Times New Roman" w:hAnsi="Times New Roman" w:cs="Times New Roman"/>
          <w:color w:val="auto"/>
          <w:szCs w:val="24"/>
          <w:lang w:val="es-MX" w:eastAsia="es-ES"/>
        </w:rPr>
        <w:t xml:space="preserve">(modelo 4, cuadro 1) </w:t>
      </w:r>
      <w:r w:rsidRPr="00FD1DC0">
        <w:rPr>
          <w:rFonts w:ascii="Times New Roman" w:eastAsia="Arial Unicode MS" w:hAnsi="Times New Roman" w:cs="Times New Roman"/>
          <w:color w:val="auto"/>
          <w:szCs w:val="24"/>
          <w:lang w:val="es-ES" w:eastAsia="es-ES"/>
        </w:rPr>
        <w:t xml:space="preserve">El modelo EGARCH-M (1,1) que se utiliza en el presente trabajo de investigación, tiene diversas ventajas sobre los modelos ARCH y GARCH tradicionales. Primero, permite asimetrías en la respuesta de la volatilidad del WTI a los shocks de los precios del WTI. Segundo, a diferencia de los modelos GARCH, el modelo EGARCH, especificado en logaritmo, no impone restricciones de no negatividad sobre los parámetros. Finalmente, modelizar la volatilidad del WTI en logaritmo disminuye el efecto de </w:t>
      </w:r>
      <w:r w:rsidRPr="00FD1DC0">
        <w:rPr>
          <w:rFonts w:ascii="Times New Roman" w:eastAsia="Arial Unicode MS" w:hAnsi="Times New Roman" w:cs="Times New Roman"/>
          <w:i/>
          <w:color w:val="auto"/>
          <w:szCs w:val="24"/>
          <w:lang w:val="es-ES" w:eastAsia="es-ES"/>
        </w:rPr>
        <w:t>outlier</w:t>
      </w:r>
      <w:r w:rsidRPr="00FD1DC0">
        <w:rPr>
          <w:rFonts w:ascii="Times New Roman" w:eastAsia="Arial Unicode MS" w:hAnsi="Times New Roman" w:cs="Times New Roman"/>
          <w:color w:val="auto"/>
          <w:szCs w:val="24"/>
          <w:lang w:val="es-ES" w:eastAsia="es-ES"/>
        </w:rPr>
        <w:t xml:space="preserve"> (observaciones anormales o aberrantes) sobre los resultados de la estimación.</w:t>
      </w:r>
    </w:p>
    <w:p w14:paraId="177238F9" w14:textId="77777777" w:rsidR="00BD7E62" w:rsidRPr="00FD1DC0" w:rsidRDefault="00BD7E62" w:rsidP="00BD7E62">
      <w:pPr>
        <w:autoSpaceDE w:val="0"/>
        <w:autoSpaceDN w:val="0"/>
        <w:adjustRightInd w:val="0"/>
        <w:spacing w:after="0" w:line="360" w:lineRule="auto"/>
        <w:ind w:left="0" w:right="0" w:firstLine="0"/>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0E0D11"/>
          <w:szCs w:val="24"/>
          <w:lang w:val="es-MX" w:eastAsia="es-MX"/>
        </w:rPr>
        <w:t xml:space="preserve">Asimismo, los modelos APARCH (modelo 5, cuadro1) </w:t>
      </w:r>
      <w:r w:rsidRPr="00FD1DC0">
        <w:rPr>
          <w:rFonts w:ascii="Times New Roman" w:eastAsia="Times New Roman" w:hAnsi="Times New Roman" w:cs="Times New Roman"/>
          <w:szCs w:val="24"/>
          <w:lang w:val="es-ES" w:eastAsia="es-ES"/>
        </w:rPr>
        <w:t>modeliza las potencias de la desviación típica. Originalmente fue propuesto por Taylor (1986) y Schwert (1989) para modelizar las desviaciones típicas y posteriormente fue generalizado por Ding et al. (1993).</w:t>
      </w:r>
    </w:p>
    <w:p w14:paraId="14006633" w14:textId="3AAA754A" w:rsidR="00BD7E62" w:rsidRPr="00FD1DC0" w:rsidRDefault="00BD7E62" w:rsidP="00BD7E62">
      <w:pPr>
        <w:autoSpaceDE w:val="0"/>
        <w:autoSpaceDN w:val="0"/>
        <w:adjustRightInd w:val="0"/>
        <w:spacing w:after="0" w:line="360" w:lineRule="auto"/>
        <w:ind w:left="0" w:right="0" w:firstLine="0"/>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0E0D11"/>
          <w:szCs w:val="24"/>
          <w:lang w:val="es-MX" w:eastAsia="es-MX"/>
        </w:rPr>
        <w:t xml:space="preserve">Por otro lado, tenemos los modelos NARCH (modelo 6, cuadro1), ARCH no lineales, </w:t>
      </w:r>
      <w:r w:rsidRPr="00FD1DC0">
        <w:rPr>
          <w:rFonts w:ascii="Times New Roman" w:eastAsia="Times New Roman" w:hAnsi="Times New Roman" w:cs="Times New Roman"/>
          <w:szCs w:val="24"/>
          <w:lang w:val="es-ES" w:eastAsia="es-ES"/>
        </w:rPr>
        <w:t>este modelo posee una curva de impacto de las noticias o innovaciones sobre la varianza condicional que es simétrica. Ahora bien, según los autores, para el caso cuando γ &lt; 2, la respuesta que tendrá la varianza condicional ante choques extremos será reducida, Higgins y Bera (1995).</w:t>
      </w:r>
    </w:p>
    <w:p w14:paraId="17CFEB94" w14:textId="77777777" w:rsidR="0022238B" w:rsidRDefault="00BD7E62" w:rsidP="0022238B">
      <w:pPr>
        <w:autoSpaceDE w:val="0"/>
        <w:autoSpaceDN w:val="0"/>
        <w:adjustRightInd w:val="0"/>
        <w:spacing w:after="0" w:line="360" w:lineRule="auto"/>
        <w:ind w:left="0" w:right="0" w:firstLine="0"/>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0E0D11"/>
          <w:szCs w:val="24"/>
          <w:lang w:val="es-MX" w:eastAsia="es-MX"/>
        </w:rPr>
        <w:t xml:space="preserve">Por último, tenemos los modelos Taylor-Schwert GARCH (modelo 7, cuadro1), GARCH, </w:t>
      </w:r>
      <w:r w:rsidRPr="00FD1DC0">
        <w:rPr>
          <w:rFonts w:ascii="Times New Roman" w:eastAsia="Times New Roman" w:hAnsi="Times New Roman" w:cs="Times New Roman"/>
          <w:szCs w:val="24"/>
          <w:lang w:val="es-ES" w:eastAsia="es-ES"/>
        </w:rPr>
        <w:t>este modelo modeliza la desviación típica como un proxy de la volatilidad en función de los componentes ARCH y GARCH elevados ambos a la potencia unitaria, Taylor y Schwert (1986 y 1989) y Nelson y Foster (1994).</w:t>
      </w:r>
    </w:p>
    <w:p w14:paraId="166BE9C0" w14:textId="5E199E04" w:rsidR="00A23FEB" w:rsidRPr="0022238B" w:rsidRDefault="00A23FEB" w:rsidP="0022238B">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22238B">
        <w:rPr>
          <w:rFonts w:eastAsia="Arial Unicode MS"/>
          <w:b/>
          <w:sz w:val="16"/>
          <w:szCs w:val="16"/>
          <w:lang w:val="es-BO"/>
        </w:rPr>
        <w:t>Cuadro 1</w:t>
      </w:r>
    </w:p>
    <w:p w14:paraId="44F32FE9" w14:textId="5ACFA051" w:rsidR="00A23FEB" w:rsidRPr="0022238B" w:rsidRDefault="00A23FEB" w:rsidP="0022238B">
      <w:pPr>
        <w:autoSpaceDE w:val="0"/>
        <w:autoSpaceDN w:val="0"/>
        <w:adjustRightInd w:val="0"/>
        <w:spacing w:after="0" w:line="240" w:lineRule="auto"/>
        <w:ind w:left="62" w:right="539" w:hanging="11"/>
        <w:jc w:val="center"/>
        <w:rPr>
          <w:rFonts w:eastAsia="Arial Unicode MS"/>
          <w:b/>
          <w:sz w:val="16"/>
          <w:szCs w:val="16"/>
          <w:lang w:val="es-BO"/>
        </w:rPr>
      </w:pPr>
      <w:r w:rsidRPr="0022238B">
        <w:rPr>
          <w:rFonts w:eastAsia="Arial Unicode MS"/>
          <w:b/>
          <w:sz w:val="16"/>
          <w:szCs w:val="16"/>
          <w:lang w:val="es-BO"/>
        </w:rPr>
        <w:t>Modelos econométricos de las familias GARCH</w:t>
      </w:r>
      <w:r w:rsidR="001A6D2B" w:rsidRPr="0022238B">
        <w:rPr>
          <w:rFonts w:eastAsia="Arial Unicode MS"/>
          <w:b/>
          <w:sz w:val="16"/>
          <w:szCs w:val="16"/>
          <w:lang w:val="es-BO"/>
        </w:rPr>
        <w:t xml:space="preserve"> </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4"/>
        <w:gridCol w:w="952"/>
        <w:gridCol w:w="1147"/>
        <w:gridCol w:w="5334"/>
      </w:tblGrid>
      <w:tr w:rsidR="00BD7E62" w:rsidRPr="00FD1DC0" w14:paraId="685A9770" w14:textId="77777777" w:rsidTr="0022238B">
        <w:trPr>
          <w:trHeight w:val="455"/>
          <w:jc w:val="center"/>
        </w:trPr>
        <w:tc>
          <w:tcPr>
            <w:tcW w:w="1114" w:type="dxa"/>
            <w:shd w:val="clear" w:color="auto" w:fill="auto"/>
          </w:tcPr>
          <w:p w14:paraId="1BE6D88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w:t>
            </w:r>
          </w:p>
        </w:tc>
        <w:tc>
          <w:tcPr>
            <w:tcW w:w="952" w:type="dxa"/>
          </w:tcPr>
          <w:p w14:paraId="020E1FB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 xml:space="preserve">Año </w:t>
            </w:r>
          </w:p>
          <w:p w14:paraId="72E48E4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Autor</w:t>
            </w:r>
          </w:p>
        </w:tc>
        <w:tc>
          <w:tcPr>
            <w:tcW w:w="1147" w:type="dxa"/>
          </w:tcPr>
          <w:p w14:paraId="4533BE05"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Aportación</w:t>
            </w:r>
          </w:p>
          <w:p w14:paraId="6D0DB070"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18"/>
                <w:szCs w:val="18"/>
                <w:lang w:val="es-ES" w:eastAsia="es-ES"/>
              </w:rPr>
              <w:t>Principal</w:t>
            </w:r>
          </w:p>
        </w:tc>
        <w:tc>
          <w:tcPr>
            <w:tcW w:w="5334" w:type="dxa"/>
            <w:shd w:val="clear" w:color="auto" w:fill="auto"/>
          </w:tcPr>
          <w:p w14:paraId="4136A4BC"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Especificación del Modelo</w:t>
            </w:r>
          </w:p>
        </w:tc>
      </w:tr>
      <w:tr w:rsidR="00BD7E62" w:rsidRPr="00FD1DC0" w14:paraId="03DF054A" w14:textId="77777777" w:rsidTr="0022238B">
        <w:trPr>
          <w:trHeight w:val="709"/>
          <w:jc w:val="center"/>
        </w:trPr>
        <w:tc>
          <w:tcPr>
            <w:tcW w:w="1114" w:type="dxa"/>
            <w:shd w:val="clear" w:color="auto" w:fill="auto"/>
          </w:tcPr>
          <w:p w14:paraId="7670870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(1)</w:t>
            </w:r>
          </w:p>
          <w:p w14:paraId="55F9854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 xml:space="preserve">ARCH </w:t>
            </w:r>
          </w:p>
        </w:tc>
        <w:tc>
          <w:tcPr>
            <w:tcW w:w="952" w:type="dxa"/>
          </w:tcPr>
          <w:p w14:paraId="607B4F0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7594D0D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sz w:val="16"/>
                <w:szCs w:val="16"/>
                <w:lang w:val="es-ES" w:eastAsia="es-ES"/>
              </w:rPr>
              <w:t>Robert Engle</w:t>
            </w:r>
          </w:p>
        </w:tc>
        <w:tc>
          <w:tcPr>
            <w:tcW w:w="1147" w:type="dxa"/>
          </w:tcPr>
          <w:p w14:paraId="691D5CA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color w:val="auto"/>
                <w:sz w:val="16"/>
                <w:szCs w:val="16"/>
                <w:lang w:val="es-ES" w:eastAsia="es-ES"/>
              </w:rPr>
              <w:t>Primera especificación y desarrollo.</w:t>
            </w:r>
          </w:p>
        </w:tc>
        <w:tc>
          <w:tcPr>
            <w:tcW w:w="5334" w:type="dxa"/>
            <w:shd w:val="clear" w:color="auto" w:fill="auto"/>
          </w:tcPr>
          <w:p w14:paraId="2678D06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262528"/>
                <w:position w:val="-42"/>
                <w:szCs w:val="24"/>
                <w:lang w:val="es-MX" w:eastAsia="es-MX"/>
              </w:rPr>
              <w:object w:dxaOrig="4380" w:dyaOrig="1020" w14:anchorId="0EF99590">
                <v:shape id="_x0000_i1033" type="#_x0000_t75" style="width:194.5pt;height:36.5pt" o:ole="">
                  <v:imagedata r:id="rId20" o:title=""/>
                </v:shape>
                <o:OLEObject Type="Embed" ProgID="Equation.3" ShapeID="_x0000_i1033" DrawAspect="Content" ObjectID="_1772226505" r:id="rId21"/>
              </w:object>
            </w:r>
          </w:p>
        </w:tc>
      </w:tr>
      <w:tr w:rsidR="00BD7E62" w:rsidRPr="00FD1DC0" w14:paraId="5C539CAF" w14:textId="77777777" w:rsidTr="0022238B">
        <w:trPr>
          <w:trHeight w:val="1810"/>
          <w:jc w:val="center"/>
        </w:trPr>
        <w:tc>
          <w:tcPr>
            <w:tcW w:w="1114" w:type="dxa"/>
            <w:shd w:val="clear" w:color="auto" w:fill="auto"/>
          </w:tcPr>
          <w:p w14:paraId="1DDA988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(2)</w:t>
            </w:r>
          </w:p>
          <w:p w14:paraId="6619AF0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GARCH (1,1)</w:t>
            </w:r>
          </w:p>
        </w:tc>
        <w:tc>
          <w:tcPr>
            <w:tcW w:w="952" w:type="dxa"/>
          </w:tcPr>
          <w:p w14:paraId="025BBC4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p>
          <w:p w14:paraId="14523CB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p>
          <w:p w14:paraId="31EF30C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p>
          <w:p w14:paraId="402F81BC"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r w:rsidRPr="00FD1DC0">
              <w:rPr>
                <w:rFonts w:ascii="Times New Roman" w:eastAsia="Times New Roman" w:hAnsi="Times New Roman" w:cs="Times New Roman"/>
                <w:sz w:val="16"/>
                <w:szCs w:val="16"/>
                <w:lang w:val="es-ES" w:eastAsia="es-ES"/>
              </w:rPr>
              <w:t>Bollerslev y Taylor</w:t>
            </w:r>
          </w:p>
        </w:tc>
        <w:tc>
          <w:tcPr>
            <w:tcW w:w="1147" w:type="dxa"/>
          </w:tcPr>
          <w:p w14:paraId="7990E6A8"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r w:rsidRPr="00FD1DC0">
              <w:rPr>
                <w:rFonts w:ascii="Times New Roman" w:eastAsia="Times New Roman" w:hAnsi="Times New Roman" w:cs="Times New Roman"/>
                <w:color w:val="auto"/>
                <w:sz w:val="16"/>
                <w:szCs w:val="16"/>
                <w:lang w:val="es-ES" w:eastAsia="es-ES"/>
              </w:rPr>
              <w:t>Método generalizado sin restricciones para la estimación de los parámetros ARCH con infinitos retardos.</w:t>
            </w:r>
          </w:p>
        </w:tc>
        <w:tc>
          <w:tcPr>
            <w:tcW w:w="5334" w:type="dxa"/>
            <w:shd w:val="clear" w:color="auto" w:fill="auto"/>
          </w:tcPr>
          <w:p w14:paraId="46EDA14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Cs/>
                <w:color w:val="262528"/>
                <w:szCs w:val="24"/>
                <w:lang w:val="es-ES" w:eastAsia="es-MX"/>
              </w:rPr>
            </w:pPr>
          </w:p>
          <w:p w14:paraId="25522B4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bCs/>
                <w:color w:val="262528"/>
                <w:position w:val="-68"/>
                <w:szCs w:val="24"/>
                <w:lang w:val="es-MX" w:eastAsia="es-MX"/>
              </w:rPr>
              <w:object w:dxaOrig="3320" w:dyaOrig="1700" w14:anchorId="17EB633F">
                <v:shape id="_x0000_i1034" type="#_x0000_t75" style="width:180pt;height:65pt" o:ole="">
                  <v:imagedata r:id="rId22" o:title=""/>
                </v:shape>
                <o:OLEObject Type="Embed" ProgID="Equation.3" ShapeID="_x0000_i1034" DrawAspect="Content" ObjectID="_1772226506" r:id="rId23"/>
              </w:object>
            </w:r>
          </w:p>
        </w:tc>
      </w:tr>
      <w:tr w:rsidR="00BD7E62" w:rsidRPr="00FD1DC0" w14:paraId="6D3CEA47" w14:textId="77777777" w:rsidTr="0022238B">
        <w:trPr>
          <w:trHeight w:val="1132"/>
          <w:jc w:val="center"/>
        </w:trPr>
        <w:tc>
          <w:tcPr>
            <w:tcW w:w="1114" w:type="dxa"/>
            <w:shd w:val="clear" w:color="auto" w:fill="auto"/>
          </w:tcPr>
          <w:p w14:paraId="0EAEC78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(3)</w:t>
            </w:r>
          </w:p>
          <w:p w14:paraId="62288936"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TGARCH(1,1)</w:t>
            </w:r>
          </w:p>
        </w:tc>
        <w:tc>
          <w:tcPr>
            <w:tcW w:w="952" w:type="dxa"/>
          </w:tcPr>
          <w:p w14:paraId="4824C54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45B19E9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Arial Unicode MS" w:hAnsi="Times New Roman" w:cs="Times New Roman"/>
                <w:color w:val="auto"/>
                <w:sz w:val="16"/>
                <w:szCs w:val="16"/>
                <w:lang w:val="es-MX" w:eastAsia="es-ES"/>
              </w:rPr>
              <w:t>Glosten, Jagannathan y Runkle</w:t>
            </w:r>
          </w:p>
        </w:tc>
        <w:tc>
          <w:tcPr>
            <w:tcW w:w="1147" w:type="dxa"/>
          </w:tcPr>
          <w:p w14:paraId="4A1D1617"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color w:val="auto"/>
                <w:sz w:val="16"/>
                <w:szCs w:val="16"/>
                <w:lang w:val="es-ES" w:eastAsia="es-ES"/>
              </w:rPr>
              <w:t>Carácter asimétrico de la respuesta a shocks positivos o negativos.</w:t>
            </w:r>
          </w:p>
        </w:tc>
        <w:tc>
          <w:tcPr>
            <w:tcW w:w="5334" w:type="dxa"/>
            <w:shd w:val="clear" w:color="auto" w:fill="auto"/>
          </w:tcPr>
          <w:p w14:paraId="58E53C08"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Arial Unicode MS" w:hAnsi="Times New Roman" w:cs="Times New Roman"/>
                <w:color w:val="auto"/>
                <w:position w:val="-84"/>
                <w:szCs w:val="24"/>
                <w:lang w:val="es-MX" w:eastAsia="es-ES"/>
              </w:rPr>
              <w:object w:dxaOrig="5500" w:dyaOrig="1860" w14:anchorId="3C4B28A0">
                <v:shape id="_x0000_i1035" type="#_x0000_t75" style="width:251.5pt;height:57.5pt" o:ole="">
                  <v:imagedata r:id="rId24" o:title=""/>
                </v:shape>
                <o:OLEObject Type="Embed" ProgID="Equation.3" ShapeID="_x0000_i1035" DrawAspect="Content" ObjectID="_1772226507" r:id="rId25"/>
              </w:object>
            </w:r>
          </w:p>
        </w:tc>
      </w:tr>
      <w:tr w:rsidR="00BD7E62" w:rsidRPr="00FD1DC0" w14:paraId="517ECC1A" w14:textId="77777777" w:rsidTr="0022238B">
        <w:trPr>
          <w:trHeight w:val="1898"/>
          <w:jc w:val="center"/>
        </w:trPr>
        <w:tc>
          <w:tcPr>
            <w:tcW w:w="1114" w:type="dxa"/>
            <w:shd w:val="clear" w:color="auto" w:fill="auto"/>
          </w:tcPr>
          <w:p w14:paraId="54F48ACC"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(4)</w:t>
            </w:r>
          </w:p>
          <w:p w14:paraId="447D884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EGARCH</w:t>
            </w:r>
          </w:p>
        </w:tc>
        <w:tc>
          <w:tcPr>
            <w:tcW w:w="952" w:type="dxa"/>
          </w:tcPr>
          <w:p w14:paraId="1EE0FEC8"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389AF7F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2C2809F0"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1712070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29A4F615"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3881493D"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52E3792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sz w:val="16"/>
                <w:szCs w:val="16"/>
                <w:lang w:val="es-ES" w:eastAsia="es-ES"/>
              </w:rPr>
              <w:t>Nelson</w:t>
            </w:r>
          </w:p>
        </w:tc>
        <w:tc>
          <w:tcPr>
            <w:tcW w:w="1147" w:type="dxa"/>
          </w:tcPr>
          <w:p w14:paraId="7BACD99C"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color w:val="auto"/>
                <w:sz w:val="16"/>
                <w:szCs w:val="16"/>
                <w:lang w:val="es-ES" w:eastAsia="es-ES"/>
              </w:rPr>
              <w:t>Modelos ARCH para procesos no normales (funciones de densidad exponenciales). Carácter asimétrico de la respuesta a shocks positivos o negativos.</w:t>
            </w:r>
          </w:p>
        </w:tc>
        <w:tc>
          <w:tcPr>
            <w:tcW w:w="5334" w:type="dxa"/>
            <w:shd w:val="clear" w:color="auto" w:fill="auto"/>
          </w:tcPr>
          <w:p w14:paraId="31253833"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MX" w:eastAsia="es-ES"/>
              </w:rPr>
            </w:pPr>
          </w:p>
          <w:p w14:paraId="7BE9C02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Arial Unicode MS" w:hAnsi="Times New Roman" w:cs="Times New Roman"/>
                <w:color w:val="auto"/>
                <w:position w:val="-134"/>
                <w:szCs w:val="24"/>
                <w:lang w:val="es-MX" w:eastAsia="es-ES"/>
              </w:rPr>
              <w:object w:dxaOrig="6920" w:dyaOrig="2860" w14:anchorId="2A625991">
                <v:shape id="_x0000_i1036" type="#_x0000_t75" style="width:259pt;height:86.5pt" o:ole="">
                  <v:imagedata r:id="rId26" o:title=""/>
                </v:shape>
                <o:OLEObject Type="Embed" ProgID="Equation.3" ShapeID="_x0000_i1036" DrawAspect="Content" ObjectID="_1772226508" r:id="rId27"/>
              </w:object>
            </w:r>
          </w:p>
        </w:tc>
      </w:tr>
      <w:tr w:rsidR="00BD7E62" w:rsidRPr="00FD1DC0" w14:paraId="7FA7456F" w14:textId="77777777" w:rsidTr="0022238B">
        <w:trPr>
          <w:trHeight w:val="2350"/>
          <w:jc w:val="center"/>
        </w:trPr>
        <w:tc>
          <w:tcPr>
            <w:tcW w:w="1114" w:type="dxa"/>
            <w:shd w:val="clear" w:color="auto" w:fill="auto"/>
          </w:tcPr>
          <w:p w14:paraId="0868D33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(5)</w:t>
            </w:r>
          </w:p>
          <w:p w14:paraId="387ADF29"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APARCH</w:t>
            </w:r>
          </w:p>
        </w:tc>
        <w:tc>
          <w:tcPr>
            <w:tcW w:w="952" w:type="dxa"/>
          </w:tcPr>
          <w:p w14:paraId="5CCFF1F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3083B62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47EED872"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30F259B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5C67B1B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1118BDB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sz w:val="16"/>
                <w:szCs w:val="16"/>
                <w:lang w:val="es-ES" w:eastAsia="es-ES"/>
              </w:rPr>
              <w:t>Ding et al</w:t>
            </w:r>
          </w:p>
        </w:tc>
        <w:tc>
          <w:tcPr>
            <w:tcW w:w="1147" w:type="dxa"/>
          </w:tcPr>
          <w:p w14:paraId="7D32532A"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color w:val="auto"/>
                <w:sz w:val="16"/>
                <w:szCs w:val="16"/>
                <w:lang w:val="es-ES" w:eastAsia="es-ES"/>
              </w:rPr>
              <w:t>Se propone modelizar un valor potencial de la desviación típica que atienda al máximo de la función de autocorrelación del valor absoluto del proceso</w:t>
            </w:r>
          </w:p>
        </w:tc>
        <w:tc>
          <w:tcPr>
            <w:tcW w:w="5334" w:type="dxa"/>
            <w:shd w:val="clear" w:color="auto" w:fill="auto"/>
          </w:tcPr>
          <w:p w14:paraId="0EAD7BF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MX" w:eastAsia="es-ES"/>
              </w:rPr>
            </w:pPr>
          </w:p>
          <w:p w14:paraId="3079FA4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MX" w:eastAsia="es-ES"/>
              </w:rPr>
            </w:pPr>
          </w:p>
          <w:p w14:paraId="5282D16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Arial Unicode MS" w:hAnsi="Times New Roman" w:cs="Times New Roman"/>
                <w:color w:val="auto"/>
                <w:position w:val="-30"/>
                <w:szCs w:val="24"/>
                <w:lang w:val="es-MX" w:eastAsia="es-ES"/>
              </w:rPr>
              <w:object w:dxaOrig="5060" w:dyaOrig="720" w14:anchorId="1A12E88B">
                <v:shape id="_x0000_i1037" type="#_x0000_t75" style="width:237.5pt;height:36.5pt" o:ole="">
                  <v:imagedata r:id="rId28" o:title=""/>
                </v:shape>
                <o:OLEObject Type="Embed" ProgID="Equation.3" ShapeID="_x0000_i1037" DrawAspect="Content" ObjectID="_1772226509" r:id="rId29"/>
              </w:object>
            </w:r>
          </w:p>
        </w:tc>
      </w:tr>
      <w:tr w:rsidR="00BD7E62" w:rsidRPr="00FD1DC0" w14:paraId="376316C1" w14:textId="77777777" w:rsidTr="0022238B">
        <w:trPr>
          <w:trHeight w:val="2191"/>
          <w:jc w:val="center"/>
        </w:trPr>
        <w:tc>
          <w:tcPr>
            <w:tcW w:w="1114" w:type="dxa"/>
            <w:shd w:val="clear" w:color="auto" w:fill="auto"/>
          </w:tcPr>
          <w:p w14:paraId="4F1FB34D"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(6)</w:t>
            </w:r>
          </w:p>
          <w:p w14:paraId="0E2E741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ES"/>
              </w:rPr>
            </w:pPr>
            <w:r w:rsidRPr="00FD1DC0">
              <w:rPr>
                <w:rFonts w:ascii="Times New Roman" w:eastAsia="Times New Roman" w:hAnsi="Times New Roman" w:cs="Times New Roman"/>
                <w:sz w:val="18"/>
                <w:szCs w:val="18"/>
                <w:lang w:val="es-ES" w:eastAsia="es-ES"/>
              </w:rPr>
              <w:t>NARCH</w:t>
            </w:r>
          </w:p>
        </w:tc>
        <w:tc>
          <w:tcPr>
            <w:tcW w:w="952" w:type="dxa"/>
          </w:tcPr>
          <w:p w14:paraId="2728EF33"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686D44A0"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42EEAACE"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591B844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0FADFFF8"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p>
          <w:p w14:paraId="214189B7"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val="es-ES" w:eastAsia="es-ES"/>
              </w:rPr>
            </w:pPr>
            <w:r w:rsidRPr="00FD1DC0">
              <w:rPr>
                <w:rFonts w:ascii="Times New Roman" w:eastAsia="Times New Roman" w:hAnsi="Times New Roman" w:cs="Times New Roman"/>
                <w:sz w:val="16"/>
                <w:szCs w:val="16"/>
                <w:lang w:val="es-ES" w:eastAsia="es-ES"/>
              </w:rPr>
              <w:t xml:space="preserve">Higgins y Bera </w:t>
            </w:r>
          </w:p>
        </w:tc>
        <w:tc>
          <w:tcPr>
            <w:tcW w:w="1147" w:type="dxa"/>
          </w:tcPr>
          <w:p w14:paraId="6A4CE2EE"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r w:rsidRPr="00FD1DC0">
              <w:rPr>
                <w:rFonts w:ascii="Times New Roman" w:eastAsia="Times New Roman" w:hAnsi="Times New Roman" w:cs="Times New Roman"/>
                <w:color w:val="auto"/>
                <w:sz w:val="16"/>
                <w:szCs w:val="16"/>
                <w:lang w:val="es-ES" w:eastAsia="es-ES"/>
              </w:rPr>
              <w:t>Se propone modelizar un valor no lineal ARCH</w:t>
            </w:r>
            <w:r w:rsidRPr="00FD1DC0">
              <w:rPr>
                <w:rFonts w:ascii="Times New Roman" w:eastAsia="Times New Roman" w:hAnsi="Times New Roman" w:cs="Times New Roman"/>
                <w:sz w:val="16"/>
                <w:szCs w:val="16"/>
                <w:lang w:val="es-ES" w:eastAsia="es-ES"/>
              </w:rPr>
              <w:t xml:space="preserve">. </w:t>
            </w:r>
            <w:r w:rsidRPr="00FD1DC0">
              <w:rPr>
                <w:rFonts w:ascii="Times New Roman" w:eastAsia="Times New Roman" w:hAnsi="Times New Roman" w:cs="Times New Roman"/>
                <w:color w:val="auto"/>
                <w:sz w:val="16"/>
                <w:szCs w:val="16"/>
                <w:lang w:val="es-ES" w:eastAsia="es-ES"/>
              </w:rPr>
              <w:t xml:space="preserve">desarrollado por </w:t>
            </w:r>
            <w:r w:rsidRPr="00FD1DC0">
              <w:rPr>
                <w:rFonts w:ascii="Times New Roman" w:eastAsia="Times New Roman" w:hAnsi="Times New Roman" w:cs="Times New Roman"/>
                <w:b/>
                <w:i/>
                <w:color w:val="auto"/>
                <w:sz w:val="16"/>
                <w:szCs w:val="16"/>
                <w:lang w:val="es-ES" w:eastAsia="es-ES"/>
              </w:rPr>
              <w:t xml:space="preserve">Bera y Higgins </w:t>
            </w:r>
            <w:r w:rsidRPr="00FD1DC0">
              <w:rPr>
                <w:rFonts w:ascii="Times New Roman" w:eastAsia="Times New Roman" w:hAnsi="Times New Roman" w:cs="Times New Roman"/>
                <w:color w:val="auto"/>
                <w:sz w:val="16"/>
                <w:szCs w:val="16"/>
                <w:lang w:val="es-ES" w:eastAsia="es-ES"/>
              </w:rPr>
              <w:t>que considera para la varianza condicionada una función similar a la conocida función CES</w:t>
            </w:r>
          </w:p>
        </w:tc>
        <w:tc>
          <w:tcPr>
            <w:tcW w:w="5334" w:type="dxa"/>
            <w:shd w:val="clear" w:color="auto" w:fill="auto"/>
          </w:tcPr>
          <w:p w14:paraId="22AAC02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MX" w:eastAsia="es-ES"/>
              </w:rPr>
            </w:pPr>
          </w:p>
          <w:p w14:paraId="0B9B0731"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MX" w:eastAsia="es-ES"/>
              </w:rPr>
            </w:pPr>
          </w:p>
          <w:p w14:paraId="556FA6E9"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262528"/>
                <w:position w:val="-28"/>
                <w:szCs w:val="24"/>
                <w:lang w:val="es-MX" w:eastAsia="es-MX"/>
              </w:rPr>
              <w:object w:dxaOrig="3240" w:dyaOrig="680" w14:anchorId="626FE04E">
                <v:shape id="_x0000_i1090" type="#_x0000_t75" style="width:158.5pt;height:36.5pt" o:ole="">
                  <v:imagedata r:id="rId30" o:title=""/>
                </v:shape>
                <o:OLEObject Type="Embed" ProgID="Equation.3" ShapeID="_x0000_i1090" DrawAspect="Content" ObjectID="_1772226510" r:id="rId31"/>
              </w:object>
            </w:r>
          </w:p>
        </w:tc>
      </w:tr>
      <w:tr w:rsidR="00BD7E62" w:rsidRPr="00FD1DC0" w14:paraId="4989B4C6" w14:textId="77777777" w:rsidTr="0022238B">
        <w:trPr>
          <w:trHeight w:val="1270"/>
          <w:jc w:val="center"/>
        </w:trPr>
        <w:tc>
          <w:tcPr>
            <w:tcW w:w="1114" w:type="dxa"/>
            <w:shd w:val="clear" w:color="auto" w:fill="auto"/>
          </w:tcPr>
          <w:p w14:paraId="6F6CC958"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Modelo (7)</w:t>
            </w:r>
          </w:p>
          <w:p w14:paraId="3B753000"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sz w:val="18"/>
                <w:szCs w:val="18"/>
                <w:lang w:val="es-ES" w:eastAsia="es-ES"/>
              </w:rPr>
              <w:t>Taylor y Schwert-GARCH</w:t>
            </w:r>
          </w:p>
        </w:tc>
        <w:tc>
          <w:tcPr>
            <w:tcW w:w="952" w:type="dxa"/>
          </w:tcPr>
          <w:p w14:paraId="19BF53BB"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eastAsia="es-ES"/>
              </w:rPr>
            </w:pPr>
          </w:p>
          <w:p w14:paraId="5BFBFDB4"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sz w:val="16"/>
                <w:szCs w:val="16"/>
                <w:lang w:eastAsia="es-ES"/>
              </w:rPr>
            </w:pPr>
            <w:r w:rsidRPr="00FD1DC0">
              <w:rPr>
                <w:rFonts w:ascii="Times New Roman" w:eastAsia="Times New Roman" w:hAnsi="Times New Roman" w:cs="Times New Roman"/>
                <w:sz w:val="16"/>
                <w:szCs w:val="16"/>
                <w:lang w:eastAsia="es-ES"/>
              </w:rPr>
              <w:t>Taylor, Schwert, Nelson y Foster</w:t>
            </w:r>
          </w:p>
        </w:tc>
        <w:tc>
          <w:tcPr>
            <w:tcW w:w="1147" w:type="dxa"/>
          </w:tcPr>
          <w:p w14:paraId="6D40DB3F"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color w:val="auto"/>
                <w:sz w:val="16"/>
                <w:szCs w:val="16"/>
                <w:lang w:val="es-ES" w:eastAsia="es-ES"/>
              </w:rPr>
            </w:pPr>
            <w:r w:rsidRPr="00FD1DC0">
              <w:rPr>
                <w:rFonts w:ascii="Times New Roman" w:eastAsia="Times New Roman" w:hAnsi="Times New Roman" w:cs="Times New Roman"/>
                <w:color w:val="auto"/>
                <w:sz w:val="16"/>
                <w:szCs w:val="16"/>
                <w:lang w:val="es-ES" w:eastAsia="es-ES"/>
              </w:rPr>
              <w:t xml:space="preserve">modeliza la desviación típica en función de los componentes ARCH y GARCH </w:t>
            </w:r>
          </w:p>
        </w:tc>
        <w:tc>
          <w:tcPr>
            <w:tcW w:w="5334" w:type="dxa"/>
            <w:shd w:val="clear" w:color="auto" w:fill="auto"/>
          </w:tcPr>
          <w:p w14:paraId="6C27FF90"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Times New Roman" w:hAnsi="Times New Roman" w:cs="Times New Roman"/>
                <w:bCs/>
                <w:color w:val="262528"/>
                <w:szCs w:val="24"/>
                <w:lang w:val="es-MX" w:eastAsia="es-MX"/>
              </w:rPr>
            </w:pPr>
          </w:p>
          <w:p w14:paraId="558424EE" w14:textId="77777777" w:rsidR="00BD7E62" w:rsidRPr="00FD1DC0" w:rsidRDefault="00BD7E62" w:rsidP="00BD7E62">
            <w:pPr>
              <w:autoSpaceDE w:val="0"/>
              <w:autoSpaceDN w:val="0"/>
              <w:adjustRightInd w:val="0"/>
              <w:spacing w:after="0" w:line="240" w:lineRule="auto"/>
              <w:ind w:left="0" w:right="0" w:firstLine="0"/>
              <w:jc w:val="center"/>
              <w:rPr>
                <w:rFonts w:ascii="Times New Roman" w:eastAsia="Arial Unicode MS" w:hAnsi="Times New Roman" w:cs="Times New Roman"/>
                <w:color w:val="auto"/>
                <w:szCs w:val="24"/>
                <w:lang w:val="es-CL" w:eastAsia="es-ES"/>
              </w:rPr>
            </w:pPr>
            <w:r w:rsidRPr="00FD1DC0">
              <w:rPr>
                <w:rFonts w:ascii="Times New Roman" w:eastAsia="Times New Roman" w:hAnsi="Times New Roman" w:cs="Times New Roman"/>
                <w:bCs/>
                <w:color w:val="262528"/>
                <w:position w:val="-30"/>
                <w:szCs w:val="24"/>
                <w:lang w:val="es-MX" w:eastAsia="es-MX"/>
              </w:rPr>
              <w:object w:dxaOrig="3159" w:dyaOrig="720" w14:anchorId="78FCF8EF">
                <v:shape id="_x0000_i1039" type="#_x0000_t75" style="width:173pt;height:36.5pt" o:ole="">
                  <v:imagedata r:id="rId32" o:title=""/>
                </v:shape>
                <o:OLEObject Type="Embed" ProgID="Equation.3" ShapeID="_x0000_i1039" DrawAspect="Content" ObjectID="_1772226511" r:id="rId33"/>
              </w:object>
            </w:r>
          </w:p>
        </w:tc>
      </w:tr>
    </w:tbl>
    <w:p w14:paraId="6A46231B" w14:textId="77777777" w:rsidR="00BD7E62" w:rsidRPr="00FD1DC0" w:rsidRDefault="00BD7E62" w:rsidP="00BD7E62">
      <w:pPr>
        <w:autoSpaceDE w:val="0"/>
        <w:autoSpaceDN w:val="0"/>
        <w:adjustRightInd w:val="0"/>
        <w:spacing w:after="0" w:line="240" w:lineRule="auto"/>
        <w:ind w:left="0" w:right="539" w:firstLine="0"/>
        <w:rPr>
          <w:rFonts w:eastAsia="Arial Unicode MS"/>
          <w:b/>
          <w:sz w:val="20"/>
          <w:szCs w:val="20"/>
          <w:lang w:val="es-BO"/>
        </w:rPr>
      </w:pPr>
    </w:p>
    <w:p w14:paraId="21404BF9"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4E4FD84D" w14:textId="1E510B95" w:rsidR="0064614C" w:rsidRPr="00FD1DC0" w:rsidRDefault="006A3E9D" w:rsidP="00391E1B">
      <w:pPr>
        <w:pStyle w:val="Ttulo4"/>
        <w:spacing w:after="0" w:line="360" w:lineRule="auto"/>
        <w:ind w:left="45" w:hanging="11"/>
        <w:jc w:val="left"/>
        <w:rPr>
          <w:rFonts w:ascii="Times New Roman" w:hAnsi="Times New Roman" w:cs="Times New Roman"/>
          <w:color w:val="262528"/>
          <w:sz w:val="24"/>
          <w:szCs w:val="24"/>
          <w:lang w:val="es-BO"/>
        </w:rPr>
      </w:pPr>
      <w:r w:rsidRPr="00FD1DC0">
        <w:rPr>
          <w:rFonts w:ascii="Times New Roman" w:hAnsi="Times New Roman" w:cs="Times New Roman"/>
          <w:sz w:val="24"/>
          <w:szCs w:val="24"/>
          <w:lang w:val="es-BO"/>
        </w:rPr>
        <w:t>3</w:t>
      </w:r>
      <w:r w:rsidR="00881ABD">
        <w:rPr>
          <w:rFonts w:ascii="Times New Roman" w:hAnsi="Times New Roman" w:cs="Times New Roman"/>
          <w:sz w:val="24"/>
          <w:szCs w:val="24"/>
          <w:lang w:val="es-BO"/>
        </w:rPr>
        <w:t>.</w:t>
      </w:r>
      <w:r w:rsidR="006846B6">
        <w:rPr>
          <w:rFonts w:ascii="Times New Roman" w:hAnsi="Times New Roman" w:cs="Times New Roman"/>
          <w:sz w:val="24"/>
          <w:szCs w:val="24"/>
          <w:lang w:val="es-BO"/>
        </w:rPr>
        <w:t>3</w:t>
      </w:r>
      <w:r w:rsidR="0064614C" w:rsidRPr="00FD1DC0">
        <w:rPr>
          <w:rFonts w:ascii="Times New Roman" w:hAnsi="Times New Roman" w:cs="Times New Roman"/>
          <w:color w:val="262528"/>
          <w:sz w:val="24"/>
          <w:szCs w:val="24"/>
          <w:lang w:val="es-BO"/>
        </w:rPr>
        <w:t xml:space="preserve"> Modelos Switching Regression </w:t>
      </w:r>
    </w:p>
    <w:p w14:paraId="6829F031" w14:textId="1A15F3B0" w:rsidR="0064614C" w:rsidRPr="00FD1DC0" w:rsidRDefault="0064614C" w:rsidP="00391E1B">
      <w:pPr>
        <w:autoSpaceDE w:val="0"/>
        <w:autoSpaceDN w:val="0"/>
        <w:adjustRightInd w:val="0"/>
        <w:spacing w:after="0" w:line="360" w:lineRule="auto"/>
        <w:ind w:hanging="11"/>
        <w:rPr>
          <w:rFonts w:ascii="Times New Roman" w:hAnsi="Times New Roman" w:cs="Times New Roman"/>
          <w:lang w:val="es-BO"/>
        </w:rPr>
      </w:pPr>
      <w:r w:rsidRPr="00FD1DC0">
        <w:rPr>
          <w:rFonts w:ascii="Times New Roman" w:hAnsi="Times New Roman" w:cs="Times New Roman"/>
          <w:lang w:val="es-BO"/>
        </w:rPr>
        <w:t xml:space="preserve">El modelo de cambio de régimen fue desarrollado por </w:t>
      </w:r>
      <w:r w:rsidR="006F2967" w:rsidRPr="00FD1DC0">
        <w:rPr>
          <w:rFonts w:ascii="Times New Roman" w:hAnsi="Times New Roman" w:cs="Times New Roman"/>
          <w:lang w:val="es-BO"/>
        </w:rPr>
        <w:t xml:space="preserve">(Hamilton, </w:t>
      </w:r>
      <w:r w:rsidRPr="00FD1DC0">
        <w:rPr>
          <w:rFonts w:ascii="Times New Roman" w:hAnsi="Times New Roman" w:cs="Times New Roman"/>
          <w:lang w:val="es-BO"/>
        </w:rPr>
        <w:t xml:space="preserve">1989), con probabilidad de transición constante, es uno de los más populares para tratar con modelos no lineales de series de tiempo. Sin embargo, diferentes consideraciones económicas sugieren el deseo de permitir que las probabilidades de transición sean variables. Diebold </w:t>
      </w:r>
      <w:r w:rsidRPr="00FD1DC0">
        <w:rPr>
          <w:rFonts w:ascii="Times New Roman" w:hAnsi="Times New Roman" w:cs="Times New Roman"/>
          <w:i/>
          <w:iCs/>
          <w:lang w:val="es-BO"/>
        </w:rPr>
        <w:t xml:space="preserve">et al. </w:t>
      </w:r>
      <w:r w:rsidRPr="00FD1DC0">
        <w:rPr>
          <w:rFonts w:ascii="Times New Roman" w:hAnsi="Times New Roman" w:cs="Times New Roman"/>
          <w:lang w:val="es-BO"/>
        </w:rPr>
        <w:t>(1993) proponen una clase de modelos de cambio de Markov en los cuales la probabilidad de transición de régimen son endógenas</w:t>
      </w:r>
      <w:r w:rsidRPr="00FD1DC0">
        <w:rPr>
          <w:rFonts w:ascii="Times New Roman" w:hAnsi="Times New Roman" w:cs="Times New Roman"/>
          <w:vertAlign w:val="superscript"/>
        </w:rPr>
        <w:footnoteReference w:id="4"/>
      </w:r>
      <w:r w:rsidRPr="00FD1DC0">
        <w:rPr>
          <w:rFonts w:ascii="Times New Roman" w:hAnsi="Times New Roman" w:cs="Times New Roman"/>
          <w:lang w:val="es-BO"/>
        </w:rPr>
        <w:t>, variables en el tiempo, es decir donde puedan variar con los fundamentos económicos y/o otras variables exógenas.</w:t>
      </w:r>
    </w:p>
    <w:p w14:paraId="40FB3572" w14:textId="75D33507" w:rsidR="005A239F" w:rsidRPr="00FD1DC0" w:rsidRDefault="001B22E6" w:rsidP="00391E1B">
      <w:pPr>
        <w:autoSpaceDE w:val="0"/>
        <w:autoSpaceDN w:val="0"/>
        <w:adjustRightInd w:val="0"/>
        <w:spacing w:after="0" w:line="360" w:lineRule="auto"/>
        <w:rPr>
          <w:rFonts w:ascii="Times-Roman" w:hAnsi="Times-Roman" w:cs="Times-Roman"/>
          <w:lang w:val="es-BO"/>
        </w:rPr>
      </w:pPr>
      <w:r w:rsidRPr="00FD1DC0">
        <w:rPr>
          <w:rFonts w:ascii="Times-Roman" w:hAnsi="Times-Roman" w:cs="Times-Roman"/>
          <w:lang w:val="es-BO"/>
        </w:rPr>
        <w:t>Asimismo, e</w:t>
      </w:r>
      <w:r w:rsidR="005A239F" w:rsidRPr="00FD1DC0">
        <w:rPr>
          <w:rFonts w:ascii="Times-Roman" w:hAnsi="Times-Roman" w:cs="Times-Roman"/>
          <w:lang w:val="es-BO"/>
        </w:rPr>
        <w:t>xisten tres supuestos en la aplicación del modelo de cambio de régimen de Markov utilizados en este trabajo. El primer supuesto es que existen dos estados: período de alta volatilidad y perío</w:t>
      </w:r>
      <w:r w:rsidR="003F36F5" w:rsidRPr="00FD1DC0">
        <w:rPr>
          <w:rFonts w:ascii="Times-Roman" w:hAnsi="Times-Roman" w:cs="Times-Roman"/>
          <w:lang w:val="es-BO"/>
        </w:rPr>
        <w:t>do de baja volatilidad del tipo de cambio real</w:t>
      </w:r>
      <w:r w:rsidR="005A239F" w:rsidRPr="00FD1DC0">
        <w:rPr>
          <w:rFonts w:ascii="Times-Roman" w:hAnsi="Times-Roman" w:cs="Times-Roman"/>
          <w:lang w:val="es-BO"/>
        </w:rPr>
        <w:t>. Dado que los estados son no observables directamente, éstos son representados por una variable binaria (S</w:t>
      </w:r>
      <w:r w:rsidR="005A239F" w:rsidRPr="00FD1DC0">
        <w:rPr>
          <w:rFonts w:ascii="Times-Roman" w:hAnsi="Times-Roman" w:cs="Times-Roman"/>
          <w:vertAlign w:val="subscript"/>
          <w:lang w:val="es-BO"/>
        </w:rPr>
        <w:t>t</w:t>
      </w:r>
      <w:r w:rsidR="005A239F" w:rsidRPr="00FD1DC0">
        <w:rPr>
          <w:rFonts w:ascii="Times-Roman" w:hAnsi="Times-Roman" w:cs="Times-Roman"/>
          <w:lang w:val="es-BO"/>
        </w:rPr>
        <w:t>) la cual está latente. El segundo supuesto implica que existen variables directamente observables cuyos cambios de comportamiento está influido por el valor de la variable S</w:t>
      </w:r>
      <w:r w:rsidR="005A239F" w:rsidRPr="00FD1DC0">
        <w:rPr>
          <w:rFonts w:ascii="Times-Roman" w:hAnsi="Times-Roman" w:cs="Times-Roman"/>
          <w:vertAlign w:val="subscript"/>
          <w:lang w:val="es-BO"/>
        </w:rPr>
        <w:t>t</w:t>
      </w:r>
      <w:r w:rsidR="005A239F" w:rsidRPr="00FD1DC0">
        <w:rPr>
          <w:rFonts w:ascii="Times-Roman" w:hAnsi="Times-Roman" w:cs="Times-Roman"/>
          <w:lang w:val="es-BO"/>
        </w:rPr>
        <w:t>. El comportamiento del tipo de cambio</w:t>
      </w:r>
      <w:r w:rsidR="003F36F5" w:rsidRPr="00FD1DC0">
        <w:rPr>
          <w:rFonts w:ascii="Times-Roman" w:hAnsi="Times-Roman" w:cs="Times-Roman"/>
          <w:lang w:val="es-BO"/>
        </w:rPr>
        <w:t xml:space="preserve"> real</w:t>
      </w:r>
      <w:r w:rsidR="005A239F" w:rsidRPr="00FD1DC0">
        <w:rPr>
          <w:rFonts w:ascii="Times-Roman" w:hAnsi="Times-Roman" w:cs="Times-Roman"/>
          <w:lang w:val="es-BO"/>
        </w:rPr>
        <w:t xml:space="preserve"> es diferente durante períodos de presiones especulativas que durante per</w:t>
      </w:r>
      <w:r w:rsidR="003F36F5" w:rsidRPr="00FD1DC0">
        <w:rPr>
          <w:rFonts w:ascii="Times-Roman" w:hAnsi="Times-Roman" w:cs="Times-Roman"/>
          <w:lang w:val="es-BO"/>
        </w:rPr>
        <w:t xml:space="preserve">íodos de relativa calma. </w:t>
      </w:r>
      <w:r w:rsidR="005A239F" w:rsidRPr="00FD1DC0">
        <w:rPr>
          <w:rFonts w:ascii="Times-Roman" w:hAnsi="Times-Roman" w:cs="Times-Roman"/>
          <w:lang w:val="es-BO"/>
        </w:rPr>
        <w:t>Finalmente, se asume que dado el estado actual de la variable S</w:t>
      </w:r>
      <w:r w:rsidR="005A239F" w:rsidRPr="00FD1DC0">
        <w:rPr>
          <w:rFonts w:ascii="Times-Roman" w:hAnsi="Times-Roman" w:cs="Times-Roman"/>
          <w:vertAlign w:val="subscript"/>
          <w:lang w:val="es-BO"/>
        </w:rPr>
        <w:t>t</w:t>
      </w:r>
      <w:r w:rsidR="005A239F" w:rsidRPr="00FD1DC0">
        <w:rPr>
          <w:rFonts w:ascii="Times-Roman" w:hAnsi="Times-Roman" w:cs="Times-Roman"/>
          <w:lang w:val="es-BO"/>
        </w:rPr>
        <w:t xml:space="preserve"> – alta</w:t>
      </w:r>
      <w:r w:rsidR="008E3832" w:rsidRPr="00FD1DC0">
        <w:rPr>
          <w:rFonts w:ascii="Times-Roman" w:hAnsi="Times-Roman" w:cs="Times-Roman"/>
          <w:lang w:val="es-BO"/>
        </w:rPr>
        <w:t xml:space="preserve"> </w:t>
      </w:r>
      <w:r w:rsidR="005A239F" w:rsidRPr="00FD1DC0">
        <w:rPr>
          <w:rFonts w:ascii="Times-Roman" w:hAnsi="Times-Roman" w:cs="Times-Roman"/>
          <w:lang w:val="es-BO"/>
        </w:rPr>
        <w:t>y</w:t>
      </w:r>
      <w:r w:rsidR="008E3832" w:rsidRPr="00FD1DC0">
        <w:rPr>
          <w:rFonts w:ascii="Times-Roman" w:hAnsi="Times-Roman" w:cs="Times-Roman"/>
          <w:lang w:val="es-BO"/>
        </w:rPr>
        <w:t xml:space="preserve"> </w:t>
      </w:r>
      <w:r w:rsidR="005A239F" w:rsidRPr="00FD1DC0">
        <w:rPr>
          <w:rFonts w:ascii="Times-Roman" w:hAnsi="Times-Roman" w:cs="Times-Roman"/>
          <w:lang w:val="es-BO"/>
        </w:rPr>
        <w:t>baja volatilidad – existe una probabilidad cierta de permanecer en el mismo estado, o de moverse hacia el otro estado. En el modelo teórico, la probabilidad de moverse de un estado de baja volatilidad hacia uno de alta volatilidad y/o viceversa depende del estado de ciertos fundamentos económicos y de variables de economía política.</w:t>
      </w:r>
    </w:p>
    <w:p w14:paraId="6ED647E0" w14:textId="0D79D150" w:rsidR="00A40DCD" w:rsidRPr="00FD1DC0" w:rsidRDefault="001B22E6"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En esa línea, l</w:t>
      </w:r>
      <w:r w:rsidR="00A40DCD" w:rsidRPr="00FD1DC0">
        <w:rPr>
          <w:rFonts w:ascii="Times New Roman" w:hAnsi="Times New Roman" w:cs="Times New Roman"/>
          <w:lang w:val="es-BO"/>
        </w:rPr>
        <w:t>a variable latente en el modelo sigue una cadena de Markov de 2 estados de primer orden, donde S</w:t>
      </w:r>
      <w:r w:rsidR="00A40DCD" w:rsidRPr="00FD1DC0">
        <w:rPr>
          <w:rFonts w:ascii="Times New Roman" w:hAnsi="Times New Roman" w:cs="Times New Roman"/>
          <w:vertAlign w:val="subscript"/>
          <w:lang w:val="es-BO"/>
        </w:rPr>
        <w:t>t</w:t>
      </w:r>
      <w:r w:rsidR="00A40DCD" w:rsidRPr="00FD1DC0">
        <w:rPr>
          <w:rFonts w:ascii="Times New Roman" w:hAnsi="Times New Roman" w:cs="Times New Roman"/>
          <w:lang w:val="es-BO"/>
        </w:rPr>
        <w:t>=1 un estado volatilidad baja</w:t>
      </w:r>
      <w:r w:rsidR="006805FF" w:rsidRPr="00FD1DC0">
        <w:rPr>
          <w:rFonts w:ascii="Times New Roman" w:hAnsi="Times New Roman" w:cs="Times New Roman"/>
          <w:lang w:val="es-BO"/>
        </w:rPr>
        <w:t xml:space="preserve"> del tipo de cambio real</w:t>
      </w:r>
      <w:r w:rsidR="00A40DCD" w:rsidRPr="00FD1DC0">
        <w:rPr>
          <w:rFonts w:ascii="Times New Roman" w:hAnsi="Times New Roman" w:cs="Times New Roman"/>
          <w:lang w:val="es-BO"/>
        </w:rPr>
        <w:t xml:space="preserve"> y S</w:t>
      </w:r>
      <w:r w:rsidR="00A40DCD" w:rsidRPr="00FD1DC0">
        <w:rPr>
          <w:rFonts w:ascii="Times New Roman" w:hAnsi="Times New Roman" w:cs="Times New Roman"/>
          <w:vertAlign w:val="subscript"/>
          <w:lang w:val="es-BO"/>
        </w:rPr>
        <w:t>t</w:t>
      </w:r>
      <w:r w:rsidR="00A40DCD" w:rsidRPr="00FD1DC0">
        <w:rPr>
          <w:rFonts w:ascii="Times New Roman" w:hAnsi="Times New Roman" w:cs="Times New Roman"/>
          <w:lang w:val="es-BO"/>
        </w:rPr>
        <w:t xml:space="preserve"> =2 denota un estado volatilidad alta</w:t>
      </w:r>
      <w:r w:rsidR="006805FF" w:rsidRPr="00FD1DC0">
        <w:rPr>
          <w:rFonts w:ascii="Times New Roman" w:hAnsi="Times New Roman" w:cs="Times New Roman"/>
          <w:lang w:val="es-BO"/>
        </w:rPr>
        <w:t xml:space="preserve"> del tipo de cambio real</w:t>
      </w:r>
      <w:r w:rsidR="00A40DCD" w:rsidRPr="00FD1DC0">
        <w:rPr>
          <w:rFonts w:ascii="Times New Roman" w:hAnsi="Times New Roman" w:cs="Times New Roman"/>
          <w:lang w:val="es-BO"/>
        </w:rPr>
        <w:t xml:space="preserve">. Cuando el proceso está en el régimen 1, la variable observada </w:t>
      </w:r>
      <w:r w:rsidR="00A40DCD" w:rsidRPr="00FD1DC0">
        <w:rPr>
          <w:rFonts w:ascii="Times New Roman" w:hAnsi="Times New Roman" w:cs="Times New Roman"/>
          <w:i/>
          <w:iCs/>
          <w:lang w:val="es-BO"/>
        </w:rPr>
        <w:t>y</w:t>
      </w:r>
      <w:r w:rsidR="00A40DCD" w:rsidRPr="00FD1DC0">
        <w:rPr>
          <w:rFonts w:ascii="Times New Roman" w:hAnsi="Times New Roman" w:cs="Times New Roman"/>
          <w:i/>
          <w:iCs/>
          <w:vertAlign w:val="subscript"/>
          <w:lang w:val="es-BO"/>
        </w:rPr>
        <w:t>t</w:t>
      </w:r>
      <w:r w:rsidR="00A40DCD" w:rsidRPr="00FD1DC0">
        <w:rPr>
          <w:rFonts w:ascii="Times New Roman" w:hAnsi="Times New Roman" w:cs="Times New Roman"/>
          <w:lang w:val="es-BO"/>
        </w:rPr>
        <w:t xml:space="preserve">– que en nuestro caso es la primera diferencia logarítmica </w:t>
      </w:r>
      <w:r w:rsidR="006805FF" w:rsidRPr="00FD1DC0">
        <w:rPr>
          <w:rFonts w:ascii="Times New Roman" w:hAnsi="Times New Roman" w:cs="Times New Roman"/>
          <w:lang w:val="es-BO"/>
        </w:rPr>
        <w:t>del tipo cambio real</w:t>
      </w:r>
      <w:r w:rsidR="00A40DCD" w:rsidRPr="00FD1DC0">
        <w:rPr>
          <w:rFonts w:ascii="Times New Roman" w:hAnsi="Times New Roman" w:cs="Times New Roman"/>
          <w:lang w:val="es-BO"/>
        </w:rPr>
        <w:t xml:space="preserve"> – se presume que se puede representar por una distribución N(</w:t>
      </w:r>
      <w:r w:rsidR="00A40DCD" w:rsidRPr="00FD1DC0">
        <w:rPr>
          <w:rFonts w:ascii="Times New Roman" w:hAnsi="Times New Roman" w:cs="Times New Roman"/>
          <w:position w:val="-14"/>
        </w:rPr>
        <w:object w:dxaOrig="859" w:dyaOrig="460" w14:anchorId="02F9D895">
          <v:shape id="_x0000_i1040" type="#_x0000_t75" style="width:43pt;height:21.5pt" o:ole="">
            <v:imagedata r:id="rId34" o:title=""/>
          </v:shape>
          <o:OLEObject Type="Embed" ProgID="Equation.3" ShapeID="_x0000_i1040" DrawAspect="Content" ObjectID="_1772226512" r:id="rId35"/>
        </w:object>
      </w:r>
      <w:r w:rsidR="00A40DCD" w:rsidRPr="00FD1DC0">
        <w:rPr>
          <w:rFonts w:ascii="Times New Roman" w:hAnsi="Times New Roman" w:cs="Times New Roman"/>
          <w:lang w:val="es-BO"/>
        </w:rPr>
        <w:t>)</w:t>
      </w:r>
      <w:r w:rsidR="00A40DCD" w:rsidRPr="00FD1DC0">
        <w:rPr>
          <w:rFonts w:ascii="Times New Roman" w:hAnsi="Times New Roman" w:cs="Times New Roman"/>
          <w:b/>
          <w:bCs/>
          <w:lang w:val="es-BO"/>
        </w:rPr>
        <w:t xml:space="preserve">. </w:t>
      </w:r>
      <w:r w:rsidR="00A40DCD" w:rsidRPr="00FD1DC0">
        <w:rPr>
          <w:rFonts w:ascii="Times New Roman" w:hAnsi="Times New Roman" w:cs="Times New Roman"/>
          <w:lang w:val="es-BO"/>
        </w:rPr>
        <w:t xml:space="preserve">Si el proceso está en el régimen 2, </w:t>
      </w:r>
      <w:r w:rsidR="00A40DCD" w:rsidRPr="00FD1DC0">
        <w:rPr>
          <w:rFonts w:ascii="Times New Roman" w:hAnsi="Times New Roman" w:cs="Times New Roman"/>
          <w:i/>
          <w:iCs/>
          <w:lang w:val="es-BO"/>
        </w:rPr>
        <w:t>y</w:t>
      </w:r>
      <w:r w:rsidR="00A40DCD" w:rsidRPr="00FD1DC0">
        <w:rPr>
          <w:rFonts w:ascii="Times New Roman" w:hAnsi="Times New Roman" w:cs="Times New Roman"/>
          <w:i/>
          <w:iCs/>
          <w:vertAlign w:val="subscript"/>
          <w:lang w:val="es-BO"/>
        </w:rPr>
        <w:t>t</w:t>
      </w:r>
      <w:r w:rsidR="008E3832" w:rsidRPr="00FD1DC0">
        <w:rPr>
          <w:rFonts w:ascii="Times New Roman" w:hAnsi="Times New Roman" w:cs="Times New Roman"/>
          <w:i/>
          <w:iCs/>
          <w:vertAlign w:val="subscript"/>
          <w:lang w:val="es-BO"/>
        </w:rPr>
        <w:t xml:space="preserve"> </w:t>
      </w:r>
      <w:r w:rsidR="00A40DCD" w:rsidRPr="00FD1DC0">
        <w:rPr>
          <w:rFonts w:ascii="Times New Roman" w:hAnsi="Times New Roman" w:cs="Times New Roman"/>
          <w:lang w:val="es-BO"/>
        </w:rPr>
        <w:t>se representa por una distribución N(</w:t>
      </w:r>
      <w:r w:rsidR="00A40DCD" w:rsidRPr="00FD1DC0">
        <w:rPr>
          <w:rFonts w:ascii="Times New Roman" w:hAnsi="Times New Roman" w:cs="Times New Roman"/>
          <w:position w:val="-14"/>
        </w:rPr>
        <w:object w:dxaOrig="880" w:dyaOrig="460" w14:anchorId="45F68CB8">
          <v:shape id="_x0000_i1041" type="#_x0000_t75" style="width:43pt;height:21.5pt" o:ole="">
            <v:imagedata r:id="rId36" o:title=""/>
          </v:shape>
          <o:OLEObject Type="Embed" ProgID="Equation.3" ShapeID="_x0000_i1041" DrawAspect="Content" ObjectID="_1772226513" r:id="rId37"/>
        </w:object>
      </w:r>
      <w:r w:rsidR="00A40DCD" w:rsidRPr="00FD1DC0">
        <w:rPr>
          <w:rFonts w:ascii="Times New Roman" w:hAnsi="Times New Roman" w:cs="Times New Roman"/>
          <w:lang w:val="es-BO"/>
        </w:rPr>
        <w:t xml:space="preserve">). Por lo tanto, el comportamiento de la variable dependiente </w:t>
      </w:r>
      <w:r w:rsidR="00A40DCD" w:rsidRPr="00FD1DC0">
        <w:rPr>
          <w:rFonts w:ascii="Times New Roman" w:hAnsi="Times New Roman" w:cs="Times New Roman"/>
          <w:i/>
          <w:iCs/>
          <w:lang w:val="es-BO"/>
        </w:rPr>
        <w:t>y</w:t>
      </w:r>
      <w:r w:rsidR="00A40DCD" w:rsidRPr="00FD1DC0">
        <w:rPr>
          <w:rFonts w:ascii="Times New Roman" w:hAnsi="Times New Roman" w:cs="Times New Roman"/>
          <w:i/>
          <w:iCs/>
          <w:vertAlign w:val="subscript"/>
          <w:lang w:val="es-BO"/>
        </w:rPr>
        <w:t>t</w:t>
      </w:r>
      <w:r w:rsidR="008E3832" w:rsidRPr="00FD1DC0">
        <w:rPr>
          <w:rFonts w:ascii="Times New Roman" w:hAnsi="Times New Roman" w:cs="Times New Roman"/>
          <w:i/>
          <w:iCs/>
          <w:vertAlign w:val="subscript"/>
          <w:lang w:val="es-BO"/>
        </w:rPr>
        <w:t xml:space="preserve"> </w:t>
      </w:r>
      <w:r w:rsidR="00A40DCD" w:rsidRPr="00FD1DC0">
        <w:rPr>
          <w:rFonts w:ascii="Times New Roman" w:hAnsi="Times New Roman" w:cs="Times New Roman"/>
          <w:lang w:val="es-BO"/>
        </w:rPr>
        <w:t>es dependiente de S</w:t>
      </w:r>
      <w:r w:rsidR="00A40DCD" w:rsidRPr="00FD1DC0">
        <w:rPr>
          <w:rFonts w:ascii="Times New Roman" w:hAnsi="Times New Roman" w:cs="Times New Roman"/>
          <w:vertAlign w:val="subscript"/>
          <w:lang w:val="es-BO"/>
        </w:rPr>
        <w:t>t</w:t>
      </w:r>
      <w:r w:rsidR="00A40DCD" w:rsidRPr="00FD1DC0">
        <w:rPr>
          <w:rFonts w:ascii="Times New Roman" w:hAnsi="Times New Roman" w:cs="Times New Roman"/>
          <w:lang w:val="es-BO"/>
        </w:rPr>
        <w:t xml:space="preserve"> de forma que:</w:t>
      </w:r>
    </w:p>
    <w:p w14:paraId="2D904B1F" w14:textId="77777777" w:rsidR="00A40DCD" w:rsidRPr="00FD1DC0" w:rsidRDefault="00195313" w:rsidP="00391E1B">
      <w:pPr>
        <w:autoSpaceDE w:val="0"/>
        <w:autoSpaceDN w:val="0"/>
        <w:adjustRightInd w:val="0"/>
        <w:spacing w:after="0" w:line="360" w:lineRule="auto"/>
        <w:jc w:val="center"/>
        <w:rPr>
          <w:lang w:val="es-BO"/>
        </w:rPr>
      </w:pPr>
      <w:r w:rsidRPr="00FD1DC0">
        <w:rPr>
          <w:position w:val="-30"/>
        </w:rPr>
        <w:object w:dxaOrig="2340" w:dyaOrig="680" w14:anchorId="1E81385A">
          <v:shape id="_x0000_i1042" type="#_x0000_t75" style="width:115pt;height:29pt" o:ole="">
            <v:imagedata r:id="rId38" o:title=""/>
          </v:shape>
          <o:OLEObject Type="Embed" ProgID="Equation.3" ShapeID="_x0000_i1042" DrawAspect="Content" ObjectID="_1772226514" r:id="rId39"/>
        </w:object>
      </w:r>
      <w:r w:rsidRPr="00FD1DC0">
        <w:rPr>
          <w:position w:val="-30"/>
          <w:lang w:val="es-BO"/>
        </w:rPr>
        <w:t xml:space="preserve">               </w:t>
      </w:r>
    </w:p>
    <w:p w14:paraId="139EB7F6" w14:textId="77777777" w:rsidR="00A40DCD" w:rsidRPr="00FD1DC0" w:rsidRDefault="00A40DCD" w:rsidP="00391E1B">
      <w:pPr>
        <w:autoSpaceDE w:val="0"/>
        <w:autoSpaceDN w:val="0"/>
        <w:adjustRightInd w:val="0"/>
        <w:spacing w:after="0" w:line="360" w:lineRule="auto"/>
        <w:rPr>
          <w:rFonts w:ascii="Times New Roman" w:hAnsi="Times New Roman" w:cs="Times New Roman"/>
          <w:lang w:val="es-BO"/>
        </w:rPr>
      </w:pPr>
      <w:r w:rsidRPr="00FD1DC0">
        <w:rPr>
          <w:rFonts w:ascii="Times New Roman" w:hAnsi="Times New Roman" w:cs="Times New Roman"/>
          <w:lang w:val="es-BO"/>
        </w:rPr>
        <w:t>La densidad de y</w:t>
      </w:r>
      <w:r w:rsidRPr="00FD1DC0">
        <w:rPr>
          <w:rFonts w:ascii="Times New Roman" w:hAnsi="Times New Roman" w:cs="Times New Roman"/>
          <w:vertAlign w:val="subscript"/>
          <w:lang w:val="es-BO"/>
        </w:rPr>
        <w:t>t</w:t>
      </w:r>
      <w:r w:rsidRPr="00FD1DC0">
        <w:rPr>
          <w:rFonts w:ascii="Times New Roman" w:hAnsi="Times New Roman" w:cs="Times New Roman"/>
          <w:lang w:val="es-BO"/>
        </w:rPr>
        <w:t>, condicional a S</w:t>
      </w:r>
      <w:r w:rsidRPr="00FD1DC0">
        <w:rPr>
          <w:rFonts w:ascii="Times New Roman" w:hAnsi="Times New Roman" w:cs="Times New Roman"/>
          <w:vertAlign w:val="subscript"/>
          <w:lang w:val="es-BO"/>
        </w:rPr>
        <w:t>t</w:t>
      </w:r>
      <w:r w:rsidRPr="00FD1DC0">
        <w:rPr>
          <w:rFonts w:ascii="Times New Roman" w:hAnsi="Times New Roman" w:cs="Times New Roman"/>
          <w:lang w:val="es-BO"/>
        </w:rPr>
        <w:t xml:space="preserve"> es:</w:t>
      </w:r>
    </w:p>
    <w:p w14:paraId="4B0407B9" w14:textId="77777777" w:rsidR="00A40DCD" w:rsidRPr="00FD1DC0" w:rsidRDefault="00195313" w:rsidP="00391E1B">
      <w:pPr>
        <w:autoSpaceDE w:val="0"/>
        <w:autoSpaceDN w:val="0"/>
        <w:adjustRightInd w:val="0"/>
        <w:spacing w:after="0" w:line="360" w:lineRule="auto"/>
        <w:jc w:val="center"/>
      </w:pPr>
      <w:r w:rsidRPr="00FD1DC0">
        <w:rPr>
          <w:position w:val="-36"/>
        </w:rPr>
        <w:object w:dxaOrig="5820" w:dyaOrig="840" w14:anchorId="5E5BA671">
          <v:shape id="_x0000_i1043" type="#_x0000_t75" style="width:4in;height:35.5pt" o:ole="">
            <v:imagedata r:id="rId40" o:title=""/>
          </v:shape>
          <o:OLEObject Type="Embed" ProgID="Equation.3" ShapeID="_x0000_i1043" DrawAspect="Content" ObjectID="_1772226515" r:id="rId41"/>
        </w:object>
      </w:r>
    </w:p>
    <w:p w14:paraId="74A91640"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La variable latente del cambio de régimen S</w:t>
      </w:r>
      <w:r w:rsidRPr="00FD1DC0">
        <w:rPr>
          <w:rFonts w:ascii="Times New Roman" w:hAnsi="Times New Roman" w:cs="Times New Roman"/>
          <w:vertAlign w:val="subscript"/>
          <w:lang w:val="es-BO"/>
        </w:rPr>
        <w:t>t</w:t>
      </w:r>
      <w:r w:rsidRPr="00FD1DC0">
        <w:rPr>
          <w:rFonts w:ascii="Times New Roman" w:hAnsi="Times New Roman" w:cs="Times New Roman"/>
          <w:lang w:val="es-BO"/>
        </w:rPr>
        <w:t xml:space="preserve"> se caracteriza de acuerdo a la siguiente matriz de probabilidad P</w:t>
      </w:r>
      <w:r w:rsidRPr="00FD1DC0">
        <w:rPr>
          <w:rFonts w:ascii="Times New Roman" w:hAnsi="Times New Roman" w:cs="Times New Roman"/>
          <w:vertAlign w:val="subscript"/>
          <w:lang w:val="es-BO"/>
        </w:rPr>
        <w:t>t</w:t>
      </w:r>
      <w:r w:rsidRPr="00FD1DC0">
        <w:rPr>
          <w:rFonts w:ascii="Times New Roman" w:hAnsi="Times New Roman" w:cs="Times New Roman"/>
          <w:lang w:val="es-BO"/>
        </w:rPr>
        <w:t>:</w:t>
      </w:r>
    </w:p>
    <w:p w14:paraId="15C7917C" w14:textId="77777777" w:rsidR="00A40DCD" w:rsidRPr="00FD1DC0" w:rsidRDefault="00195313" w:rsidP="00391E1B">
      <w:pPr>
        <w:autoSpaceDE w:val="0"/>
        <w:autoSpaceDN w:val="0"/>
        <w:adjustRightInd w:val="0"/>
        <w:spacing w:after="0" w:line="360" w:lineRule="auto"/>
        <w:jc w:val="center"/>
      </w:pPr>
      <w:r w:rsidRPr="00FD1DC0">
        <w:rPr>
          <w:position w:val="-84"/>
        </w:rPr>
        <w:object w:dxaOrig="8580" w:dyaOrig="1800" w14:anchorId="7D0D1D68">
          <v:shape id="_x0000_i1044" type="#_x0000_t75" style="width:6in;height:1in" o:ole="">
            <v:imagedata r:id="rId42" o:title=""/>
          </v:shape>
          <o:OLEObject Type="Embed" ProgID="Equation.3" ShapeID="_x0000_i1044" DrawAspect="Content" ObjectID="_1772226516" r:id="rId43"/>
        </w:object>
      </w:r>
    </w:p>
    <w:p w14:paraId="2424FBD2" w14:textId="360A4281"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En donde p</w:t>
      </w:r>
      <w:r w:rsidRPr="00FD1DC0">
        <w:rPr>
          <w:rFonts w:ascii="Times New Roman" w:hAnsi="Times New Roman" w:cs="Times New Roman"/>
          <w:vertAlign w:val="subscript"/>
          <w:lang w:val="es-BO"/>
        </w:rPr>
        <w:t>ij</w:t>
      </w:r>
      <w:r w:rsidRPr="00FD1DC0">
        <w:rPr>
          <w:rFonts w:ascii="Times New Roman" w:hAnsi="Times New Roman" w:cs="Times New Roman"/>
          <w:lang w:val="es-BO"/>
        </w:rPr>
        <w:t xml:space="preserve"> es la probabilidad de pasar del estado i en período t–1 al estado j en el período t, y F es una función de distribución acumulativa normal. Los elementos del vector (kx1)</w:t>
      </w:r>
      <w:r w:rsidRPr="00FD1DC0">
        <w:rPr>
          <w:rFonts w:ascii="Times New Roman" w:hAnsi="Times New Roman" w:cs="Times New Roman"/>
          <w:i/>
          <w:iCs/>
          <w:lang w:val="es-BO"/>
        </w:rPr>
        <w:t>x</w:t>
      </w:r>
      <w:r w:rsidRPr="00FD1DC0">
        <w:rPr>
          <w:rFonts w:ascii="Times New Roman" w:hAnsi="Times New Roman" w:cs="Times New Roman"/>
          <w:i/>
          <w:iCs/>
          <w:vertAlign w:val="subscript"/>
          <w:lang w:val="es-BO"/>
        </w:rPr>
        <w:t>t-</w:t>
      </w:r>
      <w:r w:rsidRPr="00FD1DC0">
        <w:rPr>
          <w:rFonts w:ascii="Times New Roman" w:hAnsi="Times New Roman" w:cs="Times New Roman"/>
          <w:vertAlign w:val="subscript"/>
          <w:lang w:val="es-BO"/>
        </w:rPr>
        <w:t>1</w:t>
      </w:r>
      <w:r w:rsidRPr="00FD1DC0">
        <w:rPr>
          <w:rFonts w:ascii="Times New Roman" w:hAnsi="Times New Roman" w:cs="Times New Roman"/>
          <w:lang w:val="es-BO"/>
        </w:rPr>
        <w:t xml:space="preserve"> son las variables que afectan la probabilidad de transición  son parámetros estado dependientes y que deberán ser estimados.</w:t>
      </w:r>
    </w:p>
    <w:p w14:paraId="39DD5C7D" w14:textId="14A78921"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Para completar el modelo es necesario el valor inicial de la probabilidad incondicional de estar en el estado 1 en el momento1 P(S</w:t>
      </w:r>
      <w:r w:rsidRPr="00FD1DC0">
        <w:rPr>
          <w:rFonts w:ascii="Times New Roman" w:hAnsi="Times New Roman" w:cs="Times New Roman"/>
          <w:vertAlign w:val="subscript"/>
          <w:lang w:val="es-BO"/>
        </w:rPr>
        <w:t>t</w:t>
      </w:r>
      <w:r w:rsidRPr="00FD1DC0">
        <w:rPr>
          <w:rFonts w:ascii="Times New Roman" w:hAnsi="Times New Roman" w:cs="Times New Roman"/>
          <w:lang w:val="es-BO"/>
        </w:rPr>
        <w:t>=1). El procedimiento de estimación utilizado es máxima verosimilitud, donde la función de verosimilitud se calcula utilizando la iteración descrit</w:t>
      </w:r>
      <w:r w:rsidR="001B22E6" w:rsidRPr="00FD1DC0">
        <w:rPr>
          <w:rFonts w:ascii="Times New Roman" w:hAnsi="Times New Roman" w:cs="Times New Roman"/>
          <w:lang w:val="es-BO"/>
        </w:rPr>
        <w:t>a en Hamilton (1994</w:t>
      </w:r>
      <w:r w:rsidRPr="00FD1DC0">
        <w:rPr>
          <w:rFonts w:ascii="Times New Roman" w:hAnsi="Times New Roman" w:cs="Times New Roman"/>
          <w:lang w:val="es-BO"/>
        </w:rPr>
        <w:t>).</w:t>
      </w:r>
    </w:p>
    <w:p w14:paraId="7C31FFE6"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El régimen no observable {S</w:t>
      </w:r>
      <w:r w:rsidRPr="00FD1DC0">
        <w:rPr>
          <w:rFonts w:ascii="Times New Roman" w:hAnsi="Times New Roman" w:cs="Times New Roman"/>
          <w:vertAlign w:val="subscript"/>
          <w:lang w:val="es-BO"/>
        </w:rPr>
        <w:t>t</w:t>
      </w:r>
      <w:r w:rsidRPr="00FD1DC0">
        <w:rPr>
          <w:rFonts w:ascii="Times New Roman" w:hAnsi="Times New Roman" w:cs="Times New Roman"/>
          <w:lang w:val="es-BO"/>
        </w:rPr>
        <w:t>} se presume que ha sido generado por alguna distribución de probabilidad, para la cual la probabilidad incondicional que S</w:t>
      </w:r>
      <w:r w:rsidRPr="00FD1DC0">
        <w:rPr>
          <w:rFonts w:ascii="Times New Roman" w:hAnsi="Times New Roman" w:cs="Times New Roman"/>
          <w:vertAlign w:val="subscript"/>
          <w:lang w:val="es-BO"/>
        </w:rPr>
        <w:t>t</w:t>
      </w:r>
      <w:r w:rsidRPr="00FD1DC0">
        <w:rPr>
          <w:rFonts w:ascii="Times New Roman" w:hAnsi="Times New Roman" w:cs="Times New Roman"/>
          <w:lang w:val="es-BO"/>
        </w:rPr>
        <w:t xml:space="preserve"> tome el valor j se denota por </w:t>
      </w:r>
      <w:r w:rsidRPr="00FD1DC0">
        <w:rPr>
          <w:rFonts w:ascii="Symbol" w:hAnsi="Symbol"/>
        </w:rPr>
        <w:t></w:t>
      </w:r>
      <w:r w:rsidRPr="00FD1DC0">
        <w:rPr>
          <w:vertAlign w:val="subscript"/>
          <w:lang w:val="es-BO"/>
        </w:rPr>
        <w:t>j</w:t>
      </w:r>
      <w:r w:rsidRPr="00FD1DC0">
        <w:rPr>
          <w:rFonts w:ascii="Times New Roman" w:hAnsi="Times New Roman" w:cs="Times New Roman"/>
          <w:lang w:val="es-BO"/>
        </w:rPr>
        <w:t>:</w:t>
      </w:r>
    </w:p>
    <w:p w14:paraId="25330840" w14:textId="77777777" w:rsidR="00A40DCD" w:rsidRPr="00FD1DC0" w:rsidRDefault="00195313" w:rsidP="00391E1B">
      <w:pPr>
        <w:autoSpaceDE w:val="0"/>
        <w:autoSpaceDN w:val="0"/>
        <w:adjustRightInd w:val="0"/>
        <w:spacing w:after="0" w:line="360" w:lineRule="auto"/>
        <w:jc w:val="center"/>
      </w:pPr>
      <w:r w:rsidRPr="00FD1DC0">
        <w:rPr>
          <w:position w:val="-14"/>
        </w:rPr>
        <w:object w:dxaOrig="4180" w:dyaOrig="380" w14:anchorId="7B2E0F3F">
          <v:shape id="_x0000_i1045" type="#_x0000_t75" style="width:209pt;height:14.5pt" o:ole="">
            <v:imagedata r:id="rId44" o:title=""/>
          </v:shape>
          <o:OLEObject Type="Embed" ProgID="Equation.3" ShapeID="_x0000_i1045" DrawAspect="Content" ObjectID="_1772226517" r:id="rId45"/>
        </w:object>
      </w:r>
    </w:p>
    <w:p w14:paraId="31D05618"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Las probabilidades </w:t>
      </w:r>
      <w:r w:rsidRPr="00FD1DC0">
        <w:rPr>
          <w:rFonts w:ascii="Symbol" w:hAnsi="Symbol"/>
        </w:rPr>
        <w:t></w:t>
      </w:r>
      <w:r w:rsidRPr="00FD1DC0">
        <w:rPr>
          <w:rFonts w:ascii="Symbol" w:hAnsi="Symbol"/>
          <w:vertAlign w:val="subscript"/>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rPr>
        <w:t></w:t>
      </w:r>
      <w:r w:rsidRPr="00FD1DC0">
        <w:rPr>
          <w:rFonts w:ascii="Symbol" w:hAnsi="Symbol"/>
          <w:vertAlign w:val="subscript"/>
        </w:rPr>
        <w:t></w:t>
      </w:r>
      <w:r w:rsidRPr="00FD1DC0">
        <w:rPr>
          <w:rFonts w:ascii="Symbol" w:hAnsi="Symbol"/>
          <w:vertAlign w:val="subscript"/>
        </w:rPr>
        <w:t></w:t>
      </w:r>
      <w:r w:rsidRPr="00FD1DC0">
        <w:rPr>
          <w:rFonts w:ascii="Times New Roman" w:hAnsi="Times New Roman" w:cs="Times New Roman"/>
          <w:lang w:val="es-BO"/>
        </w:rPr>
        <w:t xml:space="preserve">son incluidas también en </w:t>
      </w:r>
      <w:r w:rsidRPr="00FD1DC0">
        <w:rPr>
          <w:rFonts w:ascii="Symbol" w:hAnsi="Symbol"/>
        </w:rPr>
        <w:t></w:t>
      </w:r>
      <w:r w:rsidRPr="00FD1DC0">
        <w:rPr>
          <w:rFonts w:ascii="Times New Roman" w:hAnsi="Times New Roman" w:cs="Times New Roman"/>
          <w:lang w:val="es-BO"/>
        </w:rPr>
        <w:t xml:space="preserve">; esto significa que </w:t>
      </w:r>
      <w:r w:rsidRPr="00FD1DC0">
        <w:rPr>
          <w:rFonts w:ascii="Symbol" w:hAnsi="Symbol"/>
        </w:rPr>
        <w:t></w:t>
      </w:r>
      <w:r w:rsidRPr="00FD1DC0">
        <w:rPr>
          <w:rFonts w:ascii="Times New Roman" w:hAnsi="Times New Roman" w:cs="Times New Roman"/>
          <w:lang w:val="es-BO"/>
        </w:rPr>
        <w:t xml:space="preserve"> viene dado por:</w:t>
      </w:r>
    </w:p>
    <w:p w14:paraId="20839E34" w14:textId="77777777" w:rsidR="00A40DCD" w:rsidRPr="00FD1DC0" w:rsidRDefault="00195313" w:rsidP="00391E1B">
      <w:pPr>
        <w:autoSpaceDE w:val="0"/>
        <w:autoSpaceDN w:val="0"/>
        <w:adjustRightInd w:val="0"/>
        <w:spacing w:after="0" w:line="360" w:lineRule="auto"/>
        <w:jc w:val="center"/>
      </w:pPr>
      <w:r w:rsidRPr="00FD1DC0">
        <w:rPr>
          <w:position w:val="-12"/>
        </w:rPr>
        <w:object w:dxaOrig="4200" w:dyaOrig="440" w14:anchorId="310BD674">
          <v:shape id="_x0000_i1046" type="#_x0000_t75" style="width:208.5pt;height:14.5pt" o:ole="">
            <v:imagedata r:id="rId46" o:title=""/>
          </v:shape>
          <o:OLEObject Type="Embed" ProgID="Equation.3" ShapeID="_x0000_i1046" DrawAspect="Content" ObjectID="_1772226518" r:id="rId47"/>
        </w:object>
      </w:r>
    </w:p>
    <w:p w14:paraId="7458EF4E" w14:textId="77777777" w:rsidR="00A40DCD" w:rsidRPr="00FD1DC0" w:rsidRDefault="00A40DCD" w:rsidP="00391E1B">
      <w:pPr>
        <w:autoSpaceDE w:val="0"/>
        <w:autoSpaceDN w:val="0"/>
        <w:adjustRightInd w:val="0"/>
        <w:spacing w:after="0" w:line="360" w:lineRule="auto"/>
        <w:rPr>
          <w:rFonts w:ascii="Times New Roman" w:hAnsi="Times New Roman" w:cs="Times New Roman"/>
          <w:vertAlign w:val="subscript"/>
          <w:lang w:val="es-BO"/>
        </w:rPr>
      </w:pPr>
      <w:r w:rsidRPr="00FD1DC0">
        <w:rPr>
          <w:rFonts w:ascii="Times New Roman" w:hAnsi="Times New Roman" w:cs="Times New Roman"/>
          <w:lang w:val="es-BO"/>
        </w:rPr>
        <w:t>La función de densidad conjunta de y</w:t>
      </w:r>
      <w:r w:rsidRPr="00FD1DC0">
        <w:rPr>
          <w:rFonts w:ascii="Times New Roman" w:hAnsi="Times New Roman" w:cs="Times New Roman"/>
          <w:vertAlign w:val="subscript"/>
          <w:lang w:val="es-BO"/>
        </w:rPr>
        <w:t>t</w:t>
      </w:r>
      <w:r w:rsidRPr="00FD1DC0">
        <w:rPr>
          <w:rFonts w:ascii="Times New Roman" w:hAnsi="Times New Roman" w:cs="Times New Roman"/>
          <w:lang w:val="es-BO"/>
        </w:rPr>
        <w:t xml:space="preserve"> y S</w:t>
      </w:r>
      <w:r w:rsidRPr="00FD1DC0">
        <w:rPr>
          <w:rFonts w:ascii="Times New Roman" w:hAnsi="Times New Roman" w:cs="Times New Roman"/>
          <w:vertAlign w:val="subscript"/>
          <w:lang w:val="es-BO"/>
        </w:rPr>
        <w:t>t</w:t>
      </w:r>
    </w:p>
    <w:p w14:paraId="12E168F1" w14:textId="77777777" w:rsidR="00A40DCD" w:rsidRPr="00FD1DC0" w:rsidRDefault="00195313" w:rsidP="00391E1B">
      <w:pPr>
        <w:autoSpaceDE w:val="0"/>
        <w:autoSpaceDN w:val="0"/>
        <w:adjustRightInd w:val="0"/>
        <w:spacing w:after="0" w:line="360" w:lineRule="auto"/>
        <w:jc w:val="center"/>
      </w:pPr>
      <w:r w:rsidRPr="00FD1DC0">
        <w:rPr>
          <w:position w:val="-66"/>
        </w:rPr>
        <w:object w:dxaOrig="5460" w:dyaOrig="1440" w14:anchorId="2E2EEFA4">
          <v:shape id="_x0000_i1047" type="#_x0000_t75" style="width:273.5pt;height:57.5pt" o:ole="">
            <v:imagedata r:id="rId48" o:title=""/>
          </v:shape>
          <o:OLEObject Type="Embed" ProgID="Equation.3" ShapeID="_x0000_i1047" DrawAspect="Content" ObjectID="_1772226519" r:id="rId49"/>
        </w:object>
      </w:r>
    </w:p>
    <w:p w14:paraId="6C83A4B7"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La distribución incondicional de </w:t>
      </w:r>
      <w:r w:rsidRPr="00FD1DC0">
        <w:rPr>
          <w:rFonts w:ascii="Times New Roman" w:hAnsi="Times New Roman" w:cs="Times New Roman"/>
          <w:i/>
          <w:iCs/>
          <w:lang w:val="es-BO"/>
        </w:rPr>
        <w:t xml:space="preserve">y </w:t>
      </w:r>
      <w:r w:rsidRPr="00FD1DC0">
        <w:rPr>
          <w:rFonts w:ascii="Times New Roman" w:hAnsi="Times New Roman" w:cs="Times New Roman"/>
          <w:lang w:val="es-BO"/>
        </w:rPr>
        <w:t>puede obtenerse al sumar la ecuación anterior sobre todos los valores de j:</w:t>
      </w:r>
    </w:p>
    <w:p w14:paraId="1152DF0B" w14:textId="77777777" w:rsidR="00A40DCD" w:rsidRPr="00FD1DC0" w:rsidRDefault="00A5377D" w:rsidP="00391E1B">
      <w:pPr>
        <w:autoSpaceDE w:val="0"/>
        <w:autoSpaceDN w:val="0"/>
        <w:adjustRightInd w:val="0"/>
        <w:spacing w:after="0" w:line="360" w:lineRule="auto"/>
        <w:jc w:val="center"/>
      </w:pPr>
      <w:r w:rsidRPr="00FD1DC0">
        <w:rPr>
          <w:position w:val="-30"/>
        </w:rPr>
        <w:object w:dxaOrig="3500" w:dyaOrig="700" w14:anchorId="59AC35B3">
          <v:shape id="_x0000_i1048" type="#_x0000_t75" style="width:172.5pt;height:29pt" o:ole="">
            <v:imagedata r:id="rId50" o:title=""/>
          </v:shape>
          <o:OLEObject Type="Embed" ProgID="Equation.3" ShapeID="_x0000_i1048" DrawAspect="Content" ObjectID="_1772226520" r:id="rId51"/>
        </w:object>
      </w:r>
    </w:p>
    <w:p w14:paraId="33436577"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Dado que el régimen S es no observable, la expresión anterior es la densidad relevante que describe el dato observado actual y</w:t>
      </w:r>
      <w:r w:rsidRPr="00FD1DC0">
        <w:rPr>
          <w:rFonts w:ascii="Times New Roman" w:hAnsi="Times New Roman" w:cs="Times New Roman"/>
          <w:vertAlign w:val="subscript"/>
          <w:lang w:val="es-BO"/>
        </w:rPr>
        <w:t>t</w:t>
      </w:r>
      <w:r w:rsidRPr="00FD1DC0">
        <w:rPr>
          <w:rFonts w:ascii="Times New Roman" w:hAnsi="Times New Roman" w:cs="Times New Roman"/>
          <w:lang w:val="es-BO"/>
        </w:rPr>
        <w:t>. Si la variable régimen S</w:t>
      </w:r>
      <w:r w:rsidRPr="00FD1DC0">
        <w:rPr>
          <w:rFonts w:ascii="Times New Roman" w:hAnsi="Times New Roman" w:cs="Times New Roman"/>
          <w:vertAlign w:val="subscript"/>
          <w:lang w:val="es-BO"/>
        </w:rPr>
        <w:t>t</w:t>
      </w:r>
      <w:r w:rsidRPr="00FD1DC0">
        <w:rPr>
          <w:rFonts w:ascii="Times New Roman" w:hAnsi="Times New Roman" w:cs="Times New Roman"/>
          <w:lang w:val="es-BO"/>
        </w:rPr>
        <w:t xml:space="preserve"> se distribuye i.i.d. en diferentes momentos t, el logaritmo de la verosimilitud para los datos observados puede ser calculado de la distribución incondicional como,</w:t>
      </w:r>
    </w:p>
    <w:p w14:paraId="3B98501C" w14:textId="77777777" w:rsidR="00A40DCD" w:rsidRPr="00FD1DC0" w:rsidRDefault="00195313" w:rsidP="00391E1B">
      <w:pPr>
        <w:autoSpaceDE w:val="0"/>
        <w:autoSpaceDN w:val="0"/>
        <w:adjustRightInd w:val="0"/>
        <w:spacing w:after="0" w:line="360" w:lineRule="auto"/>
        <w:jc w:val="center"/>
      </w:pPr>
      <w:r w:rsidRPr="00FD1DC0">
        <w:rPr>
          <w:position w:val="-28"/>
        </w:rPr>
        <w:object w:dxaOrig="2820" w:dyaOrig="680" w14:anchorId="3E950D09">
          <v:shape id="_x0000_i1049" type="#_x0000_t75" style="width:2in;height:29pt" o:ole="">
            <v:imagedata r:id="rId52" o:title=""/>
          </v:shape>
          <o:OLEObject Type="Embed" ProgID="Equation.3" ShapeID="_x0000_i1049" DrawAspect="Content" ObjectID="_1772226521" r:id="rId53"/>
        </w:object>
      </w:r>
    </w:p>
    <w:p w14:paraId="5D461FC1"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La estimación de máxima verosimilitud de </w:t>
      </w:r>
      <w:r w:rsidRPr="00FD1DC0">
        <w:rPr>
          <w:rFonts w:ascii="Symbol" w:hAnsi="Symbol" w:cs="Symbol"/>
        </w:rPr>
        <w:t></w:t>
      </w:r>
      <w:r w:rsidRPr="00FD1DC0">
        <w:rPr>
          <w:rFonts w:ascii="Symbol" w:hAnsi="Symbol" w:cs="Symbol"/>
        </w:rPr>
        <w:t></w:t>
      </w:r>
      <w:r w:rsidRPr="00FD1DC0">
        <w:rPr>
          <w:rFonts w:ascii="Times New Roman" w:hAnsi="Times New Roman" w:cs="Times New Roman"/>
          <w:lang w:val="es-BO"/>
        </w:rPr>
        <w:t xml:space="preserve">se obtiene maximizando la ecuación anterior sujeta a las restricciones de que </w:t>
      </w:r>
      <w:r w:rsidRPr="00FD1DC0">
        <w:rPr>
          <w:rFonts w:ascii="Symbol" w:hAnsi="Symbol" w:cs="Symbol"/>
        </w:rPr>
        <w:t></w:t>
      </w:r>
      <w:r w:rsidRPr="00FD1DC0">
        <w:rPr>
          <w:rFonts w:ascii="Times-Roman" w:hAnsi="Times-Roman" w:cs="Times-Roman"/>
          <w:vertAlign w:val="subscript"/>
          <w:lang w:val="es-BO"/>
        </w:rPr>
        <w:t>1</w:t>
      </w:r>
      <w:r w:rsidRPr="00FD1DC0">
        <w:rPr>
          <w:rFonts w:ascii="Times-Roman" w:hAnsi="Times-Roman" w:cs="Times-Roman"/>
          <w:lang w:val="es-BO"/>
        </w:rPr>
        <w:t xml:space="preserve"> +...+</w:t>
      </w:r>
      <w:r w:rsidRPr="00FD1DC0">
        <w:rPr>
          <w:rFonts w:ascii="Symbol" w:hAnsi="Symbol" w:cs="Symbol"/>
        </w:rPr>
        <w:t></w:t>
      </w:r>
      <w:r w:rsidRPr="00FD1DC0">
        <w:rPr>
          <w:rFonts w:ascii="Times-Roman" w:hAnsi="Times-Roman" w:cs="Times-Roman"/>
          <w:vertAlign w:val="subscript"/>
          <w:lang w:val="es-BO"/>
        </w:rPr>
        <w:t>N</w:t>
      </w:r>
      <w:r w:rsidRPr="00FD1DC0">
        <w:rPr>
          <w:rFonts w:ascii="Times-Roman" w:hAnsi="Times-Roman" w:cs="Times-Roman"/>
          <w:lang w:val="es-BO"/>
        </w:rPr>
        <w:t xml:space="preserve"> = 1</w:t>
      </w:r>
      <w:r w:rsidRPr="00FD1DC0">
        <w:rPr>
          <w:rFonts w:ascii="Times New Roman" w:hAnsi="Times New Roman" w:cs="Times New Roman"/>
          <w:lang w:val="es-BO"/>
        </w:rPr>
        <w:t xml:space="preserve"> y que </w:t>
      </w:r>
      <w:r w:rsidRPr="00FD1DC0">
        <w:rPr>
          <w:rFonts w:ascii="Symbol" w:hAnsi="Symbol" w:cs="Symbol"/>
        </w:rPr>
        <w:t></w:t>
      </w:r>
      <w:r w:rsidRPr="00FD1DC0">
        <w:rPr>
          <w:rFonts w:ascii="Times-Roman" w:hAnsi="Times-Roman" w:cs="Times-Roman"/>
          <w:vertAlign w:val="subscript"/>
          <w:lang w:val="es-BO"/>
        </w:rPr>
        <w:t>j</w:t>
      </w:r>
      <w:r w:rsidRPr="00FD1DC0">
        <w:rPr>
          <w:rFonts w:ascii="Symbol" w:hAnsi="Symbol" w:cs="Symbol"/>
        </w:rPr>
        <w:t></w:t>
      </w:r>
      <w:r w:rsidRPr="00FD1DC0">
        <w:rPr>
          <w:rFonts w:ascii="Symbol" w:hAnsi="Symbol" w:cs="Symbol"/>
        </w:rPr>
        <w:t></w:t>
      </w:r>
      <w:r w:rsidRPr="00FD1DC0">
        <w:rPr>
          <w:rFonts w:ascii="Times-Roman" w:hAnsi="Times-Roman" w:cs="Times-Roman"/>
          <w:lang w:val="es-BO"/>
        </w:rPr>
        <w:t>0</w:t>
      </w:r>
      <w:r w:rsidRPr="00FD1DC0">
        <w:rPr>
          <w:rFonts w:ascii="Times New Roman" w:hAnsi="Times New Roman" w:cs="Times New Roman"/>
          <w:lang w:val="es-BO"/>
        </w:rPr>
        <w:t xml:space="preserve"> para j = 1, 2,..., N.</w:t>
      </w:r>
    </w:p>
    <w:p w14:paraId="663D2A4B"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Una vez obtenidas estimaciones de </w:t>
      </w:r>
      <w:r w:rsidRPr="00FD1DC0">
        <w:rPr>
          <w:rFonts w:ascii="Symbol" w:hAnsi="Symbol"/>
        </w:rPr>
        <w:t></w:t>
      </w:r>
      <w:r w:rsidRPr="00FD1DC0">
        <w:rPr>
          <w:lang w:val="es-BO"/>
        </w:rPr>
        <w:t>,</w:t>
      </w:r>
      <w:r w:rsidRPr="00FD1DC0">
        <w:rPr>
          <w:rFonts w:ascii="Times New Roman" w:hAnsi="Times New Roman" w:cs="Times New Roman"/>
          <w:lang w:val="es-BO"/>
        </w:rPr>
        <w:t xml:space="preserve"> es posible realizar una inferencia sobre qué régimen es más probable que sea el responsable de producir la observación t de y</w:t>
      </w:r>
      <w:r w:rsidRPr="00FD1DC0">
        <w:rPr>
          <w:rFonts w:ascii="Times New Roman" w:hAnsi="Times New Roman" w:cs="Times New Roman"/>
          <w:vertAlign w:val="subscript"/>
          <w:lang w:val="es-BO"/>
        </w:rPr>
        <w:t>t</w:t>
      </w:r>
      <w:r w:rsidRPr="00FD1DC0">
        <w:rPr>
          <w:rFonts w:ascii="Times New Roman" w:hAnsi="Times New Roman" w:cs="Times New Roman"/>
          <w:lang w:val="es-BO"/>
        </w:rPr>
        <w:t>.</w:t>
      </w:r>
    </w:p>
    <w:p w14:paraId="538C70C3"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De la definición de probabilidad condicional se sigue que:</w:t>
      </w:r>
    </w:p>
    <w:p w14:paraId="4DCEC9CC" w14:textId="77777777" w:rsidR="00A40DCD" w:rsidRPr="00FD1DC0" w:rsidRDefault="00306CA5" w:rsidP="00391E1B">
      <w:pPr>
        <w:autoSpaceDE w:val="0"/>
        <w:autoSpaceDN w:val="0"/>
        <w:adjustRightInd w:val="0"/>
        <w:spacing w:after="0" w:line="360" w:lineRule="auto"/>
        <w:jc w:val="center"/>
      </w:pPr>
      <w:r w:rsidRPr="00FD1DC0">
        <w:rPr>
          <w:position w:val="-30"/>
        </w:rPr>
        <w:object w:dxaOrig="6560" w:dyaOrig="700" w14:anchorId="7721F985">
          <v:shape id="_x0000_i1050" type="#_x0000_t75" style="width:332pt;height:29pt" o:ole="">
            <v:imagedata r:id="rId54" o:title=""/>
          </v:shape>
          <o:OLEObject Type="Embed" ProgID="Equation.3" ShapeID="_x0000_i1050" DrawAspect="Content" ObjectID="_1772226522" r:id="rId55"/>
        </w:object>
      </w:r>
    </w:p>
    <w:p w14:paraId="1120729A" w14:textId="77777777" w:rsidR="00A40DCD"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Este número representa la probabilidad, dado los datos observados, que el régimen no observable de la observación t sea el régimen j.</w:t>
      </w:r>
    </w:p>
    <w:p w14:paraId="24D9291B" w14:textId="77777777" w:rsidR="00A23FEB" w:rsidRPr="00FD1DC0" w:rsidRDefault="00A40DCD" w:rsidP="00391E1B">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Dado que las ecuaciones son no lineales, no es posible resolver analíticamente la estimación de </w:t>
      </w:r>
      <w:r w:rsidRPr="00FD1DC0">
        <w:rPr>
          <w:rFonts w:ascii="Symbol" w:hAnsi="Symbol" w:cs="Symbol"/>
        </w:rPr>
        <w:t></w:t>
      </w:r>
      <w:r w:rsidRPr="00FD1DC0">
        <w:rPr>
          <w:rFonts w:ascii="Symbol" w:hAnsi="Symbol" w:cs="Symbol"/>
        </w:rPr>
        <w:t></w:t>
      </w:r>
      <w:r w:rsidRPr="00FD1DC0">
        <w:rPr>
          <w:rFonts w:ascii="Times New Roman" w:hAnsi="Times New Roman" w:cs="Times New Roman"/>
          <w:lang w:val="es-BO"/>
        </w:rPr>
        <w:t>como función de</w:t>
      </w:r>
      <w:r w:rsidR="009E68F3" w:rsidRPr="00FD1DC0">
        <w:rPr>
          <w:rFonts w:ascii="Times New Roman" w:hAnsi="Times New Roman" w:cs="Times New Roman"/>
          <w:lang w:val="es-BO"/>
        </w:rPr>
        <w:t xml:space="preserve"> </w:t>
      </w:r>
      <w:r w:rsidR="009E68F3" w:rsidRPr="00FD1DC0">
        <w:rPr>
          <w:rFonts w:ascii="Symbol" w:hAnsi="Symbol" w:cs="Symbol"/>
        </w:rPr>
        <w:t></w:t>
      </w:r>
      <w:r w:rsidR="009E68F3" w:rsidRPr="00FD1DC0">
        <w:rPr>
          <w:rFonts w:ascii="Times-Roman" w:hAnsi="Times-Roman" w:cs="Times-Roman"/>
          <w:lang w:val="es-BO"/>
        </w:rPr>
        <w:t>y</w:t>
      </w:r>
      <w:r w:rsidR="009E68F3" w:rsidRPr="00FD1DC0">
        <w:rPr>
          <w:rFonts w:ascii="Times-Roman" w:hAnsi="Times-Roman" w:cs="Times-Roman"/>
          <w:vertAlign w:val="subscript"/>
          <w:lang w:val="es-BO"/>
        </w:rPr>
        <w:t>1</w:t>
      </w:r>
      <w:r w:rsidR="009E68F3" w:rsidRPr="00FD1DC0">
        <w:rPr>
          <w:rFonts w:ascii="Times-Roman" w:hAnsi="Times-Roman" w:cs="Times-Roman"/>
          <w:lang w:val="es-BO"/>
        </w:rPr>
        <w:t>, y</w:t>
      </w:r>
      <w:r w:rsidR="009E68F3" w:rsidRPr="00FD1DC0">
        <w:rPr>
          <w:rFonts w:ascii="Times-Roman" w:hAnsi="Times-Roman" w:cs="Times-Roman"/>
          <w:vertAlign w:val="subscript"/>
          <w:lang w:val="es-BO"/>
        </w:rPr>
        <w:t>2</w:t>
      </w:r>
      <w:r w:rsidR="009E68F3" w:rsidRPr="00FD1DC0">
        <w:rPr>
          <w:rFonts w:ascii="Times-Roman" w:hAnsi="Times-Roman" w:cs="Times-Roman"/>
          <w:lang w:val="es-BO"/>
        </w:rPr>
        <w:t>,..., y</w:t>
      </w:r>
      <w:r w:rsidR="009E68F3" w:rsidRPr="00FD1DC0">
        <w:rPr>
          <w:rFonts w:ascii="Times-Roman" w:hAnsi="Times-Roman" w:cs="Times-Roman"/>
          <w:vertAlign w:val="subscript"/>
          <w:lang w:val="es-BO"/>
        </w:rPr>
        <w:t>T</w:t>
      </w:r>
      <w:r w:rsidR="009E68F3" w:rsidRPr="00FD1DC0">
        <w:rPr>
          <w:rFonts w:ascii="Symbol" w:hAnsi="Symbol" w:cs="Symbol"/>
        </w:rPr>
        <w:t></w:t>
      </w:r>
      <w:r w:rsidRPr="00FD1DC0">
        <w:rPr>
          <w:rFonts w:ascii="Times New Roman" w:hAnsi="Times New Roman" w:cs="Times New Roman"/>
          <w:lang w:val="es-BO"/>
        </w:rPr>
        <w:t xml:space="preserve">. Sin </w:t>
      </w:r>
      <w:r w:rsidR="009E68F3" w:rsidRPr="00FD1DC0">
        <w:rPr>
          <w:rFonts w:ascii="Times New Roman" w:hAnsi="Times New Roman" w:cs="Times New Roman"/>
          <w:lang w:val="es-BO"/>
        </w:rPr>
        <w:t>embargo,</w:t>
      </w:r>
      <w:r w:rsidRPr="00FD1DC0">
        <w:rPr>
          <w:rFonts w:ascii="Times New Roman" w:hAnsi="Times New Roman" w:cs="Times New Roman"/>
          <w:lang w:val="es-BO"/>
        </w:rPr>
        <w:t xml:space="preserve"> esas ecuaciones sugieren recurrir a un algoritmo iterativo para encontrar el estimador máximo verosímil. Empezando por un valor inicial arbitrario de búsqueda de</w:t>
      </w:r>
      <w:r w:rsidR="009E68F3" w:rsidRPr="00FD1DC0">
        <w:rPr>
          <w:rFonts w:ascii="Times New Roman" w:hAnsi="Times New Roman" w:cs="Times New Roman"/>
          <w:lang w:val="es-BO"/>
        </w:rPr>
        <w:t xml:space="preserve"> </w:t>
      </w:r>
      <w:r w:rsidR="009E68F3" w:rsidRPr="00FD1DC0">
        <w:rPr>
          <w:rFonts w:ascii="Symbol" w:hAnsi="Symbol" w:cs="Symbol"/>
        </w:rPr>
        <w:t></w:t>
      </w:r>
      <w:r w:rsidRPr="00FD1DC0">
        <w:rPr>
          <w:rFonts w:ascii="Times New Roman" w:hAnsi="Times New Roman" w:cs="Times New Roman"/>
          <w:lang w:val="es-BO"/>
        </w:rPr>
        <w:t>, se comienza iterando hasta que el cambio entre dos estimaciones es menor que algún criteri</w:t>
      </w:r>
      <w:r w:rsidR="009025E0" w:rsidRPr="00FD1DC0">
        <w:rPr>
          <w:rFonts w:ascii="Times New Roman" w:hAnsi="Times New Roman" w:cs="Times New Roman"/>
          <w:lang w:val="es-BO"/>
        </w:rPr>
        <w:t>o de convergencia especificado.</w:t>
      </w:r>
    </w:p>
    <w:p w14:paraId="3A0ABC43" w14:textId="68429492" w:rsidR="004926AE" w:rsidRPr="00FD1DC0" w:rsidRDefault="006A3E9D" w:rsidP="00391E1B">
      <w:pPr>
        <w:pStyle w:val="Ttulo4"/>
        <w:spacing w:after="0" w:line="360" w:lineRule="auto"/>
        <w:ind w:left="45"/>
        <w:jc w:val="left"/>
        <w:rPr>
          <w:rFonts w:ascii="Times New Roman" w:hAnsi="Times New Roman" w:cs="Times New Roman"/>
          <w:sz w:val="24"/>
          <w:szCs w:val="24"/>
          <w:lang w:val="es-BO"/>
        </w:rPr>
      </w:pPr>
      <w:r w:rsidRPr="00FD1DC0">
        <w:rPr>
          <w:rFonts w:ascii="Times New Roman" w:hAnsi="Times New Roman" w:cs="Times New Roman"/>
          <w:sz w:val="24"/>
          <w:szCs w:val="24"/>
          <w:lang w:val="es-BO"/>
        </w:rPr>
        <w:t>3</w:t>
      </w:r>
      <w:r w:rsidR="006846B6">
        <w:rPr>
          <w:rFonts w:ascii="Times New Roman" w:hAnsi="Times New Roman" w:cs="Times New Roman"/>
          <w:sz w:val="24"/>
          <w:szCs w:val="24"/>
          <w:lang w:val="es-BO"/>
        </w:rPr>
        <w:t>.4</w:t>
      </w:r>
      <w:r w:rsidR="004926AE" w:rsidRPr="00FD1DC0">
        <w:rPr>
          <w:rFonts w:ascii="Times New Roman" w:hAnsi="Times New Roman" w:cs="Times New Roman"/>
          <w:sz w:val="24"/>
          <w:szCs w:val="24"/>
          <w:lang w:val="es-BO"/>
        </w:rPr>
        <w:t xml:space="preserve"> </w:t>
      </w:r>
      <w:r w:rsidR="001921C3" w:rsidRPr="00FD1DC0">
        <w:rPr>
          <w:rFonts w:ascii="Times New Roman" w:hAnsi="Times New Roman" w:cs="Times New Roman"/>
          <w:color w:val="262528"/>
          <w:sz w:val="24"/>
          <w:szCs w:val="24"/>
          <w:lang w:val="es-BO"/>
        </w:rPr>
        <w:t>Resultados de E</w:t>
      </w:r>
      <w:r w:rsidR="004926AE" w:rsidRPr="00FD1DC0">
        <w:rPr>
          <w:rFonts w:ascii="Times New Roman" w:hAnsi="Times New Roman" w:cs="Times New Roman"/>
          <w:color w:val="262528"/>
          <w:sz w:val="24"/>
          <w:szCs w:val="24"/>
          <w:lang w:val="es-BO"/>
        </w:rPr>
        <w:t xml:space="preserve">stimación </w:t>
      </w:r>
    </w:p>
    <w:p w14:paraId="48E52CCF" w14:textId="3F46CC77" w:rsidR="00746790" w:rsidRPr="00FD1DC0" w:rsidRDefault="00E9600B" w:rsidP="0090235F">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Se combinarán las metodologías SARIMA</w:t>
      </w:r>
      <w:r w:rsidR="003012A5" w:rsidRPr="00FD1DC0">
        <w:rPr>
          <w:rFonts w:ascii="Times New Roman" w:hAnsi="Times New Roman" w:cs="Times New Roman"/>
          <w:lang w:val="es-BO"/>
        </w:rPr>
        <w:t>X</w:t>
      </w:r>
      <w:r w:rsidRPr="00FD1DC0">
        <w:rPr>
          <w:rFonts w:ascii="Times New Roman" w:hAnsi="Times New Roman" w:cs="Times New Roman"/>
          <w:lang w:val="es-BO"/>
        </w:rPr>
        <w:t xml:space="preserve"> (Autoregressive Integrated Moving Average</w:t>
      </w:r>
      <w:r w:rsidR="00A231D1" w:rsidRPr="00FD1DC0">
        <w:rPr>
          <w:rFonts w:ascii="Times New Roman" w:hAnsi="Times New Roman" w:cs="Times New Roman"/>
          <w:lang w:val="es-BO"/>
        </w:rPr>
        <w:t xml:space="preserve"> Exogenous</w:t>
      </w:r>
      <w:r w:rsidRPr="00FD1DC0">
        <w:rPr>
          <w:rFonts w:ascii="Times New Roman" w:hAnsi="Times New Roman" w:cs="Times New Roman"/>
          <w:lang w:val="es-BO"/>
        </w:rPr>
        <w:t>)</w:t>
      </w:r>
      <w:r w:rsidRPr="00FD1DC0">
        <w:rPr>
          <w:rFonts w:ascii="Times New Roman" w:hAnsi="Times New Roman" w:cs="Times New Roman"/>
          <w:vertAlign w:val="superscript"/>
        </w:rPr>
        <w:footnoteReference w:id="5"/>
      </w:r>
      <w:r w:rsidRPr="00FD1DC0">
        <w:rPr>
          <w:rFonts w:ascii="Times New Roman" w:hAnsi="Times New Roman" w:cs="Times New Roman"/>
          <w:lang w:val="es-BO"/>
        </w:rPr>
        <w:t xml:space="preserve"> y </w:t>
      </w:r>
      <w:r w:rsidR="003012A5" w:rsidRPr="00FD1DC0">
        <w:rPr>
          <w:rFonts w:ascii="Times New Roman" w:hAnsi="Times New Roman" w:cs="Times New Roman"/>
          <w:lang w:val="es-BO"/>
        </w:rPr>
        <w:t>E</w:t>
      </w:r>
      <w:r w:rsidRPr="00FD1DC0">
        <w:rPr>
          <w:rFonts w:ascii="Times New Roman" w:hAnsi="Times New Roman" w:cs="Times New Roman"/>
          <w:lang w:val="es-BO"/>
        </w:rPr>
        <w:t>GARCH (General Autoregressive Conditional Heteroskedasticity</w:t>
      </w:r>
      <w:r w:rsidR="003012A5" w:rsidRPr="00FD1DC0">
        <w:rPr>
          <w:rFonts w:ascii="Times New Roman" w:hAnsi="Times New Roman" w:cs="Times New Roman"/>
          <w:lang w:val="es-BO"/>
        </w:rPr>
        <w:t xml:space="preserve"> EXPONENTIAL</w:t>
      </w:r>
      <w:r w:rsidRPr="00FD1DC0">
        <w:rPr>
          <w:rFonts w:ascii="Times New Roman" w:hAnsi="Times New Roman" w:cs="Times New Roman"/>
          <w:lang w:val="es-BO"/>
        </w:rPr>
        <w:t>)</w:t>
      </w:r>
      <w:r w:rsidR="00A231D1" w:rsidRPr="00FD1DC0">
        <w:rPr>
          <w:rFonts w:ascii="Times New Roman" w:hAnsi="Times New Roman" w:cs="Times New Roman"/>
          <w:lang w:val="es-BO"/>
        </w:rPr>
        <w:t xml:space="preserve"> tomando como proxy del tipo de cambio real de ambos países, </w:t>
      </w:r>
      <w:r w:rsidRPr="00FD1DC0">
        <w:rPr>
          <w:rFonts w:ascii="Times New Roman" w:hAnsi="Times New Roman" w:cs="Times New Roman"/>
          <w:lang w:val="es-BO"/>
        </w:rPr>
        <w:t>la</w:t>
      </w:r>
      <w:r w:rsidR="00A231D1" w:rsidRPr="00FD1DC0">
        <w:rPr>
          <w:rFonts w:ascii="Times New Roman" w:hAnsi="Times New Roman" w:cs="Times New Roman"/>
          <w:lang w:val="es-BO"/>
        </w:rPr>
        <w:t xml:space="preserve"> tasa de</w:t>
      </w:r>
      <w:r w:rsidRPr="00FD1DC0">
        <w:rPr>
          <w:rFonts w:ascii="Times New Roman" w:hAnsi="Times New Roman" w:cs="Times New Roman"/>
          <w:lang w:val="es-BO"/>
        </w:rPr>
        <w:t xml:space="preserve"> variación mensual del tipo</w:t>
      </w:r>
      <w:r w:rsidR="00A231D1" w:rsidRPr="00FD1DC0">
        <w:rPr>
          <w:rFonts w:ascii="Times New Roman" w:hAnsi="Times New Roman" w:cs="Times New Roman"/>
          <w:lang w:val="es-BO"/>
        </w:rPr>
        <w:t xml:space="preserve"> de cambio real </w:t>
      </w:r>
      <w:r w:rsidRPr="00FD1DC0">
        <w:rPr>
          <w:rFonts w:ascii="Times New Roman" w:hAnsi="Times New Roman" w:cs="Times New Roman"/>
          <w:lang w:val="es-BO"/>
        </w:rPr>
        <w:t xml:space="preserve">con información mensual. De este modo se puede estimar tanto la media condicional, como la varianza condicional, a través de métodos de máxima verosimilitud. La modelación de la serie de </w:t>
      </w:r>
      <w:r w:rsidR="00797138" w:rsidRPr="00FD1DC0">
        <w:rPr>
          <w:rFonts w:ascii="Times New Roman" w:hAnsi="Times New Roman" w:cs="Times New Roman"/>
          <w:lang w:val="es-BO"/>
        </w:rPr>
        <w:t xml:space="preserve">la tasa de variación mensual del tipo de cambio real </w:t>
      </w:r>
      <w:r w:rsidRPr="00FD1DC0">
        <w:rPr>
          <w:rFonts w:ascii="Times New Roman" w:hAnsi="Times New Roman" w:cs="Times New Roman"/>
          <w:lang w:val="es-BO"/>
        </w:rPr>
        <w:t>inicialmente a través de un proceso SARIMA</w:t>
      </w:r>
      <w:r w:rsidR="00797138" w:rsidRPr="00FD1DC0">
        <w:rPr>
          <w:rFonts w:ascii="Times New Roman" w:hAnsi="Times New Roman" w:cs="Times New Roman"/>
          <w:lang w:val="es-BO"/>
        </w:rPr>
        <w:t>X que</w:t>
      </w:r>
      <w:r w:rsidRPr="00FD1DC0">
        <w:rPr>
          <w:rFonts w:ascii="Times New Roman" w:hAnsi="Times New Roman" w:cs="Times New Roman"/>
          <w:lang w:val="es-BO"/>
        </w:rPr>
        <w:t xml:space="preserve"> permite </w:t>
      </w:r>
      <w:r w:rsidR="00797138" w:rsidRPr="00FD1DC0">
        <w:rPr>
          <w:rFonts w:ascii="Times New Roman" w:hAnsi="Times New Roman" w:cs="Times New Roman"/>
          <w:lang w:val="es-BO"/>
        </w:rPr>
        <w:t>predecir el comportamiento de la tasa de variación</w:t>
      </w:r>
      <w:r w:rsidRPr="00FD1DC0">
        <w:rPr>
          <w:rFonts w:ascii="Times New Roman" w:hAnsi="Times New Roman" w:cs="Times New Roman"/>
          <w:lang w:val="es-BO"/>
        </w:rPr>
        <w:t xml:space="preserve"> en cada periodo, basándose en la información contenida en la serie en los periodos anteriores, es decir, en los rezagos de la serie y capturando la estacionalidad de la misma. Así, se obtienen los errores de predicción para cada periodo. La utilización de los modelos de las familias </w:t>
      </w:r>
      <w:r w:rsidR="00797138" w:rsidRPr="00FD1DC0">
        <w:rPr>
          <w:rFonts w:ascii="Times New Roman" w:hAnsi="Times New Roman" w:cs="Times New Roman"/>
          <w:lang w:val="es-BO"/>
        </w:rPr>
        <w:t>EG</w:t>
      </w:r>
      <w:r w:rsidRPr="00FD1DC0">
        <w:rPr>
          <w:rFonts w:ascii="Times New Roman" w:hAnsi="Times New Roman" w:cs="Times New Roman"/>
          <w:lang w:val="es-BO"/>
        </w:rPr>
        <w:t>ARCH, por su parte, permite obtener una serie temporal de la varianza de los errores que sirve como aproximación de la volatilidad cambiaria</w:t>
      </w:r>
      <w:r w:rsidR="00797138" w:rsidRPr="00FD1DC0">
        <w:rPr>
          <w:rFonts w:ascii="Times New Roman" w:hAnsi="Times New Roman" w:cs="Times New Roman"/>
          <w:lang w:val="es-BO"/>
        </w:rPr>
        <w:t xml:space="preserve"> real</w:t>
      </w:r>
      <w:r w:rsidRPr="00FD1DC0">
        <w:rPr>
          <w:rFonts w:ascii="Times New Roman" w:hAnsi="Times New Roman" w:cs="Times New Roman"/>
          <w:lang w:val="es-BO"/>
        </w:rPr>
        <w:t xml:space="preserve">. </w:t>
      </w:r>
    </w:p>
    <w:p w14:paraId="1AF4CC34" w14:textId="2E58A303" w:rsidR="00746790" w:rsidRPr="00FD1DC0" w:rsidRDefault="00E9600B" w:rsidP="00391E1B">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Comprobado el comportamiento estacionario de los residuos de la variación mensual del tipo de cambio</w:t>
      </w:r>
      <w:r w:rsidR="00797138" w:rsidRPr="00FD1DC0">
        <w:rPr>
          <w:rFonts w:ascii="Times New Roman" w:hAnsi="Times New Roman" w:cs="Times New Roman"/>
          <w:lang w:val="es-BO"/>
        </w:rPr>
        <w:t xml:space="preserve"> real</w:t>
      </w:r>
      <w:r w:rsidRPr="00FD1DC0">
        <w:rPr>
          <w:rFonts w:ascii="Times New Roman" w:hAnsi="Times New Roman" w:cs="Times New Roman"/>
          <w:lang w:val="es-BO"/>
        </w:rPr>
        <w:t xml:space="preserve">, que resulta ser </w:t>
      </w:r>
      <w:r w:rsidR="00623313" w:rsidRPr="00FD1DC0">
        <w:rPr>
          <w:rFonts w:ascii="Times New Roman" w:hAnsi="Times New Roman" w:cs="Times New Roman"/>
          <w:lang w:val="es-BO"/>
        </w:rPr>
        <w:t>un proxy</w:t>
      </w:r>
      <w:r w:rsidR="00797138" w:rsidRPr="00FD1DC0">
        <w:rPr>
          <w:rFonts w:ascii="Times New Roman" w:hAnsi="Times New Roman" w:cs="Times New Roman"/>
          <w:lang w:val="es-BO"/>
        </w:rPr>
        <w:t xml:space="preserve"> del comportamiento del tipo de cambio real</w:t>
      </w:r>
      <w:r w:rsidRPr="00FD1DC0">
        <w:rPr>
          <w:rFonts w:ascii="Times New Roman" w:hAnsi="Times New Roman" w:cs="Times New Roman"/>
          <w:lang w:val="es-BO"/>
        </w:rPr>
        <w:t>, se estima el modelo SARIMA</w:t>
      </w:r>
      <w:r w:rsidR="00797138" w:rsidRPr="00FD1DC0">
        <w:rPr>
          <w:rFonts w:ascii="Times New Roman" w:hAnsi="Times New Roman" w:cs="Times New Roman"/>
          <w:lang w:val="es-BO"/>
        </w:rPr>
        <w:t>X</w:t>
      </w:r>
      <w:r w:rsidRPr="00FD1DC0">
        <w:rPr>
          <w:rFonts w:ascii="Times New Roman" w:hAnsi="Times New Roman" w:cs="Times New Roman"/>
          <w:lang w:val="es-BO"/>
        </w:rPr>
        <w:t xml:space="preserve"> para esa variable. Utilizando el paquete estadístico TRAMO-SEATS se identificó un modelo SARIMA</w:t>
      </w:r>
      <w:r w:rsidR="007D7F06" w:rsidRPr="00FD1DC0">
        <w:rPr>
          <w:rFonts w:ascii="Times New Roman" w:hAnsi="Times New Roman" w:cs="Times New Roman"/>
          <w:lang w:val="es-BO"/>
        </w:rPr>
        <w:t>X para México (0,1,1) (1,1,2</w:t>
      </w:r>
      <w:r w:rsidRPr="00FD1DC0">
        <w:rPr>
          <w:rFonts w:ascii="Times New Roman" w:hAnsi="Times New Roman" w:cs="Times New Roman"/>
          <w:lang w:val="es-BO"/>
        </w:rPr>
        <w:t>), con lo cual el modelo identifica una diferenciación y un parámetro de media móvil en la parte regular, así como una diferenciación, un parámetro autorregresivo y de medias móviles en la parte estacional. Mientras para Brasil se id</w:t>
      </w:r>
      <w:r w:rsidR="007D7F06" w:rsidRPr="00FD1DC0">
        <w:rPr>
          <w:rFonts w:ascii="Times New Roman" w:hAnsi="Times New Roman" w:cs="Times New Roman"/>
          <w:lang w:val="es-BO"/>
        </w:rPr>
        <w:t>entificó un modelo SARIMAX (1,1,1) (2</w:t>
      </w:r>
      <w:r w:rsidRPr="00FD1DC0">
        <w:rPr>
          <w:rFonts w:ascii="Times New Roman" w:hAnsi="Times New Roman" w:cs="Times New Roman"/>
          <w:lang w:val="es-BO"/>
        </w:rPr>
        <w:t>,1,1), con lo cual el modelo identifica una diferenciación y un parámetro de media móvil en la parte regular, así como una diferenciación, un parámetro autorregresivo y de medias móviles en la parte estacional. También el modelo identifica una de serie (</w:t>
      </w:r>
      <w:r w:rsidRPr="00FD1DC0">
        <w:rPr>
          <w:rFonts w:ascii="Times New Roman" w:hAnsi="Times New Roman" w:cs="Times New Roman"/>
          <w:i/>
          <w:lang w:val="es-BO"/>
        </w:rPr>
        <w:t>outliers</w:t>
      </w:r>
      <w:r w:rsidRPr="00FD1DC0">
        <w:rPr>
          <w:rFonts w:ascii="Times New Roman" w:hAnsi="Times New Roman" w:cs="Times New Roman"/>
          <w:lang w:val="es-BO"/>
        </w:rPr>
        <w:t>) de diferente índole (impulso o escalón)</w:t>
      </w:r>
      <w:r w:rsidRPr="00FD1DC0">
        <w:rPr>
          <w:rFonts w:ascii="Times New Roman" w:hAnsi="Times New Roman" w:cs="Times New Roman"/>
          <w:color w:val="262528"/>
          <w:lang w:val="es-BO"/>
        </w:rPr>
        <w:t xml:space="preserve">, a </w:t>
      </w:r>
      <w:r w:rsidRPr="00FD1DC0">
        <w:rPr>
          <w:rFonts w:ascii="Times New Roman" w:hAnsi="Times New Roman" w:cs="Times New Roman"/>
          <w:lang w:val="es-BO"/>
        </w:rPr>
        <w:t>partir de ello se realizó un calibramiento del mismo con la finalidad de mejorar el modelo inicial para el caso de Brasil. Los mejores resultados para el caso de Brasil se obtuvieron para un modelo con una diferenciación tanto en la parte regular como estaciona</w:t>
      </w:r>
      <w:r w:rsidR="007D7F06" w:rsidRPr="00FD1DC0">
        <w:rPr>
          <w:rFonts w:ascii="Times New Roman" w:hAnsi="Times New Roman" w:cs="Times New Roman"/>
          <w:lang w:val="es-BO"/>
        </w:rPr>
        <w:t>l, un componente ar(1</w:t>
      </w:r>
      <w:r w:rsidRPr="00FD1DC0">
        <w:rPr>
          <w:rFonts w:ascii="Times New Roman" w:hAnsi="Times New Roman" w:cs="Times New Roman"/>
          <w:lang w:val="es-BO"/>
        </w:rPr>
        <w:t>), ma(1) en la parte regula</w:t>
      </w:r>
      <w:r w:rsidR="007D7F06" w:rsidRPr="00FD1DC0">
        <w:rPr>
          <w:rFonts w:ascii="Times New Roman" w:hAnsi="Times New Roman" w:cs="Times New Roman"/>
          <w:lang w:val="es-BO"/>
        </w:rPr>
        <w:t>r y un componente sma(1) y sar(2</w:t>
      </w:r>
      <w:r w:rsidRPr="00FD1DC0">
        <w:rPr>
          <w:rFonts w:ascii="Times New Roman" w:hAnsi="Times New Roman" w:cs="Times New Roman"/>
          <w:lang w:val="es-BO"/>
        </w:rPr>
        <w:t xml:space="preserve">) en la parte estacional. </w:t>
      </w:r>
    </w:p>
    <w:p w14:paraId="1794DCDA" w14:textId="6FDDA252" w:rsidR="002F3BA1" w:rsidRPr="00FD1DC0" w:rsidRDefault="00E9600B" w:rsidP="003360DE">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La estimación del modelo se presenta en el cuadro 1 para México y cuadro 2 para Brasil, entre otras cosas se puede advertir en ambos modelos para ambos países una alta significancia de las variables, ausencia de correlación en los residuos, estabilidad del modelo SARIMA</w:t>
      </w:r>
      <w:r w:rsidR="007D7F06" w:rsidRPr="00FD1DC0">
        <w:rPr>
          <w:rFonts w:ascii="Times New Roman" w:hAnsi="Times New Roman" w:cs="Times New Roman"/>
          <w:lang w:val="es-BO"/>
        </w:rPr>
        <w:t>X</w:t>
      </w:r>
      <w:r w:rsidRPr="00FD1DC0">
        <w:rPr>
          <w:rFonts w:ascii="Times New Roman" w:hAnsi="Times New Roman" w:cs="Times New Roman"/>
          <w:lang w:val="es-BO"/>
        </w:rPr>
        <w:t xml:space="preserve"> y no normalidad en los residuos. Sin embargo, se requiere verificar si la varianza residual de </w:t>
      </w:r>
      <w:r w:rsidR="007D7F06" w:rsidRPr="00FD1DC0">
        <w:rPr>
          <w:rFonts w:ascii="Times New Roman" w:hAnsi="Times New Roman" w:cs="Times New Roman"/>
          <w:lang w:val="es-BO"/>
        </w:rPr>
        <w:t>la tasa de variación mensual del tipo de cambio real</w:t>
      </w:r>
      <w:r w:rsidRPr="00FD1DC0">
        <w:rPr>
          <w:rFonts w:ascii="Times New Roman" w:hAnsi="Times New Roman" w:cs="Times New Roman"/>
          <w:lang w:val="es-BO"/>
        </w:rPr>
        <w:t xml:space="preserve"> es constante en el tiempo, para lo cual se incluye en los cuadros 1 y 2 el estadístico para la prueba de efectos ARCH, que evalúa si la varianza de los residuos, </w:t>
      </w:r>
      <w:r w:rsidRPr="00FD1DC0">
        <w:rPr>
          <w:rFonts w:ascii="Times New Roman" w:hAnsi="Times New Roman" w:cs="Times New Roman"/>
        </w:rPr>
        <w:t>ε</w:t>
      </w:r>
      <w:r w:rsidRPr="00FD1DC0">
        <w:rPr>
          <w:rFonts w:ascii="Times New Roman" w:hAnsi="Times New Roman" w:cs="Times New Roman"/>
          <w:vertAlign w:val="subscript"/>
          <w:lang w:val="es-BO"/>
        </w:rPr>
        <w:t>t</w:t>
      </w:r>
      <w:r w:rsidRPr="00FD1DC0">
        <w:rPr>
          <w:rFonts w:ascii="Times New Roman" w:hAnsi="Times New Roman" w:cs="Times New Roman"/>
          <w:lang w:val="es-BO"/>
        </w:rPr>
        <w:t>, es constante. La prueba indica que se rechace la hipótesis nula de existencia de un proceso con varianza constante tanto para México y Brasil, en vista de lo cual se puede modelar el proceso de varianza</w:t>
      </w:r>
      <w:r w:rsidR="00F80763" w:rsidRPr="00FD1DC0">
        <w:rPr>
          <w:rFonts w:ascii="Times New Roman" w:hAnsi="Times New Roman" w:cs="Times New Roman"/>
          <w:lang w:val="es-BO"/>
        </w:rPr>
        <w:t>.</w:t>
      </w:r>
      <w:r w:rsidRPr="00FD1DC0">
        <w:rPr>
          <w:rFonts w:ascii="Times New Roman" w:hAnsi="Times New Roman" w:cs="Times New Roman"/>
          <w:lang w:val="es-BO"/>
        </w:rPr>
        <w:t xml:space="preserve"> </w:t>
      </w:r>
    </w:p>
    <w:p w14:paraId="19CB0360" w14:textId="77777777" w:rsidR="00705ACF" w:rsidRPr="00FD1DC0" w:rsidRDefault="00705ACF" w:rsidP="00705ACF">
      <w:pPr>
        <w:autoSpaceDE w:val="0"/>
        <w:autoSpaceDN w:val="0"/>
        <w:adjustRightInd w:val="0"/>
        <w:spacing w:after="0" w:line="240" w:lineRule="auto"/>
        <w:ind w:left="0" w:right="0" w:firstLine="709"/>
        <w:jc w:val="center"/>
        <w:rPr>
          <w:rFonts w:ascii="Times New Roman" w:eastAsia="Times New Roman" w:hAnsi="Times New Roman" w:cs="Times New Roman"/>
          <w:b/>
          <w:color w:val="auto"/>
          <w:sz w:val="20"/>
          <w:szCs w:val="20"/>
          <w:lang w:val="es-ES" w:eastAsia="es-ES"/>
        </w:rPr>
      </w:pPr>
      <w:r w:rsidRPr="00FD1DC0">
        <w:rPr>
          <w:rFonts w:ascii="Times New Roman" w:eastAsia="Times New Roman" w:hAnsi="Times New Roman" w:cs="Times New Roman"/>
          <w:b/>
          <w:color w:val="auto"/>
          <w:sz w:val="20"/>
          <w:szCs w:val="20"/>
          <w:lang w:val="es-ES" w:eastAsia="es-ES"/>
        </w:rPr>
        <w:t>Cuadro 1</w:t>
      </w:r>
    </w:p>
    <w:p w14:paraId="1C4D4AA6" w14:textId="77777777" w:rsidR="00705ACF" w:rsidRPr="00FD1DC0" w:rsidRDefault="00705ACF" w:rsidP="00705ACF">
      <w:pPr>
        <w:autoSpaceDE w:val="0"/>
        <w:autoSpaceDN w:val="0"/>
        <w:adjustRightInd w:val="0"/>
        <w:spacing w:after="0" w:line="240" w:lineRule="auto"/>
        <w:ind w:left="0" w:right="0" w:firstLine="709"/>
        <w:jc w:val="center"/>
        <w:rPr>
          <w:rFonts w:ascii="Times New Roman" w:eastAsia="Times New Roman" w:hAnsi="Times New Roman" w:cs="Times New Roman"/>
          <w:b/>
          <w:color w:val="auto"/>
          <w:sz w:val="20"/>
          <w:szCs w:val="20"/>
          <w:lang w:val="es-ES" w:eastAsia="es-ES"/>
        </w:rPr>
      </w:pPr>
      <w:r w:rsidRPr="00FD1DC0">
        <w:rPr>
          <w:rFonts w:ascii="Times New Roman" w:eastAsia="Times New Roman" w:hAnsi="Times New Roman" w:cs="Times New Roman"/>
          <w:b/>
          <w:color w:val="auto"/>
          <w:sz w:val="20"/>
          <w:szCs w:val="20"/>
          <w:lang w:val="es-ES" w:eastAsia="es-ES"/>
        </w:rPr>
        <w:t>Modelo Sarima para la tasa de depreciación cambiaria en México</w:t>
      </w:r>
      <w:r w:rsidR="00222AB6" w:rsidRPr="00FD1DC0">
        <w:rPr>
          <w:rFonts w:ascii="Times New Roman" w:eastAsia="Times New Roman" w:hAnsi="Times New Roman" w:cs="Times New Roman"/>
          <w:b/>
          <w:color w:val="auto"/>
          <w:sz w:val="20"/>
          <w:szCs w:val="20"/>
          <w:lang w:val="es-ES" w:eastAsia="es-ES"/>
        </w:rPr>
        <w:t xml:space="preserve"> (1994-2020)</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13"/>
        <w:gridCol w:w="4438"/>
      </w:tblGrid>
      <w:tr w:rsidR="00705ACF" w:rsidRPr="00FD1DC0" w14:paraId="51D9EDA4" w14:textId="77777777" w:rsidTr="00B10AA2">
        <w:trPr>
          <w:jc w:val="center"/>
        </w:trPr>
        <w:tc>
          <w:tcPr>
            <w:tcW w:w="1537" w:type="dxa"/>
            <w:tcBorders>
              <w:top w:val="single" w:sz="4" w:space="0" w:color="auto"/>
              <w:left w:val="single" w:sz="4" w:space="0" w:color="auto"/>
              <w:bottom w:val="single" w:sz="4" w:space="0" w:color="auto"/>
              <w:right w:val="single" w:sz="4" w:space="0" w:color="auto"/>
            </w:tcBorders>
            <w:hideMark/>
          </w:tcPr>
          <w:p w14:paraId="5C3594CD"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Modelo</w:t>
            </w:r>
          </w:p>
        </w:tc>
        <w:tc>
          <w:tcPr>
            <w:tcW w:w="7751" w:type="dxa"/>
            <w:gridSpan w:val="2"/>
            <w:tcBorders>
              <w:top w:val="single" w:sz="4" w:space="0" w:color="auto"/>
              <w:left w:val="single" w:sz="4" w:space="0" w:color="auto"/>
              <w:bottom w:val="single" w:sz="4" w:space="0" w:color="auto"/>
              <w:right w:val="single" w:sz="4" w:space="0" w:color="auto"/>
            </w:tcBorders>
            <w:hideMark/>
          </w:tcPr>
          <w:p w14:paraId="0E9A55CA"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Ecuación</w:t>
            </w:r>
          </w:p>
        </w:tc>
      </w:tr>
      <w:tr w:rsidR="00705ACF" w:rsidRPr="00FD1DC0" w14:paraId="3934C8B9" w14:textId="77777777" w:rsidTr="00B10AA2">
        <w:trPr>
          <w:trHeight w:val="986"/>
          <w:jc w:val="center"/>
        </w:trPr>
        <w:tc>
          <w:tcPr>
            <w:tcW w:w="1537" w:type="dxa"/>
            <w:tcBorders>
              <w:top w:val="single" w:sz="4" w:space="0" w:color="auto"/>
              <w:left w:val="single" w:sz="4" w:space="0" w:color="auto"/>
              <w:bottom w:val="single" w:sz="4" w:space="0" w:color="auto"/>
              <w:right w:val="single" w:sz="4" w:space="0" w:color="auto"/>
            </w:tcBorders>
            <w:hideMark/>
          </w:tcPr>
          <w:p w14:paraId="307E7C74"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Modelo</w:t>
            </w:r>
          </w:p>
          <w:p w14:paraId="7F7939BD" w14:textId="1466325C"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Sarima</w:t>
            </w:r>
            <w:r w:rsidR="00A91982" w:rsidRPr="00FD1DC0">
              <w:rPr>
                <w:rFonts w:ascii="Times New Roman" w:eastAsia="Times New Roman" w:hAnsi="Times New Roman" w:cs="Times New Roman"/>
                <w:sz w:val="20"/>
                <w:szCs w:val="20"/>
                <w:lang w:val="es-ES" w:eastAsia="es-ES"/>
              </w:rPr>
              <w:t>x</w:t>
            </w:r>
          </w:p>
        </w:tc>
        <w:tc>
          <w:tcPr>
            <w:tcW w:w="7751" w:type="dxa"/>
            <w:gridSpan w:val="2"/>
            <w:tcBorders>
              <w:top w:val="single" w:sz="4" w:space="0" w:color="auto"/>
              <w:left w:val="single" w:sz="4" w:space="0" w:color="auto"/>
              <w:bottom w:val="single" w:sz="4" w:space="0" w:color="auto"/>
              <w:right w:val="single" w:sz="4" w:space="0" w:color="auto"/>
            </w:tcBorders>
            <w:hideMark/>
          </w:tcPr>
          <w:p w14:paraId="68A9126D" w14:textId="416BFC6E" w:rsidR="00705ACF" w:rsidRPr="00FD1DC0" w:rsidRDefault="00AA2E43" w:rsidP="00705ACF">
            <w:pPr>
              <w:autoSpaceDE w:val="0"/>
              <w:autoSpaceDN w:val="0"/>
              <w:adjustRightInd w:val="0"/>
              <w:spacing w:after="0" w:line="24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position w:val="-32"/>
                <w:szCs w:val="24"/>
                <w:lang w:val="es-ES" w:eastAsia="es-ES"/>
              </w:rPr>
              <w:object w:dxaOrig="5980" w:dyaOrig="760" w14:anchorId="6D6E48B1">
                <v:shape id="_x0000_i1051" type="#_x0000_t75" style="width:296pt;height:35.5pt" o:ole="">
                  <v:imagedata r:id="rId56" o:title=""/>
                </v:shape>
                <o:OLEObject Type="Embed" ProgID="Equation.3" ShapeID="_x0000_i1051" DrawAspect="Content" ObjectID="_1772226523" r:id="rId57"/>
              </w:object>
            </w:r>
          </w:p>
        </w:tc>
      </w:tr>
      <w:tr w:rsidR="00705ACF" w:rsidRPr="00FD1DC0" w14:paraId="412D6542" w14:textId="77777777" w:rsidTr="00B10AA2">
        <w:trPr>
          <w:trHeight w:val="547"/>
          <w:jc w:val="center"/>
        </w:trPr>
        <w:tc>
          <w:tcPr>
            <w:tcW w:w="1537" w:type="dxa"/>
            <w:tcBorders>
              <w:top w:val="single" w:sz="4" w:space="0" w:color="auto"/>
              <w:left w:val="single" w:sz="4" w:space="0" w:color="auto"/>
              <w:bottom w:val="single" w:sz="4" w:space="0" w:color="auto"/>
              <w:right w:val="single" w:sz="4" w:space="0" w:color="auto"/>
            </w:tcBorders>
            <w:hideMark/>
          </w:tcPr>
          <w:p w14:paraId="390534FA"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Estadísticos de</w:t>
            </w:r>
          </w:p>
          <w:p w14:paraId="17CE3782"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diagnostico</w:t>
            </w:r>
          </w:p>
        </w:tc>
        <w:tc>
          <w:tcPr>
            <w:tcW w:w="3313" w:type="dxa"/>
            <w:tcBorders>
              <w:top w:val="single" w:sz="4" w:space="0" w:color="auto"/>
              <w:left w:val="single" w:sz="4" w:space="0" w:color="auto"/>
              <w:bottom w:val="single" w:sz="4" w:space="0" w:color="auto"/>
              <w:right w:val="single" w:sz="4" w:space="0" w:color="auto"/>
            </w:tcBorders>
            <w:hideMark/>
          </w:tcPr>
          <w:p w14:paraId="5D344427" w14:textId="26BDB308" w:rsidR="00705ACF" w:rsidRPr="00FD1DC0" w:rsidRDefault="00705ACF"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R</w:t>
            </w:r>
            <w:r w:rsidRPr="00FD1DC0">
              <w:rPr>
                <w:rFonts w:ascii="Times New Roman" w:eastAsia="Times New Roman" w:hAnsi="Times New Roman" w:cs="Times New Roman"/>
                <w:bCs/>
                <w:color w:val="auto"/>
                <w:sz w:val="18"/>
                <w:szCs w:val="18"/>
                <w:vertAlign w:val="superscript"/>
                <w:lang w:eastAsia="es-ES"/>
              </w:rPr>
              <w:t>2</w:t>
            </w:r>
            <w:r w:rsidR="00A92151" w:rsidRPr="00FD1DC0">
              <w:rPr>
                <w:rFonts w:ascii="Times New Roman" w:eastAsia="Times New Roman" w:hAnsi="Times New Roman" w:cs="Times New Roman"/>
                <w:bCs/>
                <w:color w:val="auto"/>
                <w:sz w:val="18"/>
                <w:szCs w:val="18"/>
                <w:lang w:eastAsia="es-ES"/>
              </w:rPr>
              <w:t>: 0.8734</w:t>
            </w:r>
          </w:p>
          <w:p w14:paraId="39276269" w14:textId="6DBEB618" w:rsidR="00705ACF" w:rsidRPr="00FD1DC0" w:rsidRDefault="00705ACF"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 xml:space="preserve">Log </w:t>
            </w:r>
            <w:r w:rsidR="00A92151" w:rsidRPr="00FD1DC0">
              <w:rPr>
                <w:rFonts w:ascii="Times New Roman" w:eastAsia="Times New Roman" w:hAnsi="Times New Roman" w:cs="Times New Roman"/>
                <w:bCs/>
                <w:color w:val="auto"/>
                <w:sz w:val="18"/>
                <w:szCs w:val="18"/>
                <w:lang w:eastAsia="es-ES"/>
              </w:rPr>
              <w:t>likelihood: 143.3476</w:t>
            </w:r>
          </w:p>
          <w:p w14:paraId="36F7329B" w14:textId="74147703" w:rsidR="00705ACF" w:rsidRPr="00FD1DC0" w:rsidRDefault="00A92151"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Schwarz criterion: -3.7623</w:t>
            </w:r>
          </w:p>
          <w:p w14:paraId="445D43B1" w14:textId="1888671C" w:rsidR="00705ACF" w:rsidRPr="00FD1DC0" w:rsidRDefault="00705ACF" w:rsidP="00705ACF">
            <w:pPr>
              <w:spacing w:after="0" w:line="240" w:lineRule="auto"/>
              <w:ind w:left="0" w:right="0" w:firstLine="0"/>
              <w:rPr>
                <w:rFonts w:ascii="Times New Roman" w:eastAsia="Times New Roman" w:hAnsi="Times New Roman" w:cs="Times New Roman"/>
                <w:sz w:val="18"/>
                <w:szCs w:val="18"/>
                <w:lang w:eastAsia="es-ES"/>
              </w:rPr>
            </w:pPr>
            <w:r w:rsidRPr="00FD1DC0">
              <w:rPr>
                <w:rFonts w:ascii="Times New Roman" w:eastAsia="Times New Roman" w:hAnsi="Times New Roman" w:cs="Times New Roman"/>
                <w:sz w:val="18"/>
                <w:szCs w:val="18"/>
                <w:lang w:eastAsia="es-ES"/>
              </w:rPr>
              <w:t>Ja</w:t>
            </w:r>
            <w:r w:rsidR="00A92151" w:rsidRPr="00FD1DC0">
              <w:rPr>
                <w:rFonts w:ascii="Times New Roman" w:eastAsia="Times New Roman" w:hAnsi="Times New Roman" w:cs="Times New Roman"/>
                <w:sz w:val="18"/>
                <w:szCs w:val="18"/>
                <w:lang w:eastAsia="es-ES"/>
              </w:rPr>
              <w:t>rque-Bera Test (p-value): 0.9876</w:t>
            </w:r>
          </w:p>
          <w:p w14:paraId="48FABFE8" w14:textId="77777777" w:rsidR="00705ACF" w:rsidRPr="00FD1DC0" w:rsidRDefault="00DC0BB0" w:rsidP="00705ACF">
            <w:pPr>
              <w:autoSpaceDE w:val="0"/>
              <w:autoSpaceDN w:val="0"/>
              <w:adjustRightInd w:val="0"/>
              <w:spacing w:after="0" w:line="240" w:lineRule="auto"/>
              <w:ind w:left="0" w:right="0" w:firstLine="0"/>
              <w:jc w:val="left"/>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sz w:val="18"/>
                <w:szCs w:val="18"/>
                <w:lang w:eastAsia="es-ES"/>
              </w:rPr>
              <w:t>Número de observaciones: 324</w:t>
            </w:r>
          </w:p>
        </w:tc>
        <w:tc>
          <w:tcPr>
            <w:tcW w:w="4438" w:type="dxa"/>
            <w:tcBorders>
              <w:top w:val="single" w:sz="4" w:space="0" w:color="auto"/>
              <w:left w:val="single" w:sz="4" w:space="0" w:color="auto"/>
              <w:bottom w:val="single" w:sz="4" w:space="0" w:color="auto"/>
              <w:right w:val="single" w:sz="4" w:space="0" w:color="auto"/>
            </w:tcBorders>
            <w:hideMark/>
          </w:tcPr>
          <w:p w14:paraId="56A1029E" w14:textId="5DB5C1D5" w:rsidR="00705ACF" w:rsidRPr="00FD1DC0" w:rsidRDefault="00705ACF" w:rsidP="00705ACF">
            <w:pPr>
              <w:spacing w:after="0" w:line="240" w:lineRule="auto"/>
              <w:ind w:left="0" w:right="0" w:firstLine="0"/>
              <w:rPr>
                <w:rFonts w:ascii="Times New Roman" w:eastAsia="Times New Roman" w:hAnsi="Times New Roman" w:cs="Times New Roman"/>
                <w:sz w:val="18"/>
                <w:szCs w:val="18"/>
                <w:lang w:eastAsia="es-ES"/>
              </w:rPr>
            </w:pPr>
            <w:r w:rsidRPr="00FD1DC0">
              <w:rPr>
                <w:rFonts w:ascii="Times New Roman" w:eastAsia="Times New Roman" w:hAnsi="Times New Roman" w:cs="Times New Roman"/>
                <w:sz w:val="18"/>
                <w:szCs w:val="18"/>
                <w:lang w:eastAsia="es-ES"/>
              </w:rPr>
              <w:t>Breusch-Godfrey Co</w:t>
            </w:r>
            <w:r w:rsidR="00A92151" w:rsidRPr="00FD1DC0">
              <w:rPr>
                <w:rFonts w:ascii="Times New Roman" w:eastAsia="Times New Roman" w:hAnsi="Times New Roman" w:cs="Times New Roman"/>
                <w:sz w:val="18"/>
                <w:szCs w:val="18"/>
                <w:lang w:eastAsia="es-ES"/>
              </w:rPr>
              <w:t>rrelation LM Test (p-value): 0.6542</w:t>
            </w:r>
          </w:p>
          <w:p w14:paraId="79EE5158" w14:textId="6784417A" w:rsidR="00705ACF" w:rsidRPr="00FD1DC0" w:rsidRDefault="00A92151"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Akaike info criterion: -2.5236</w:t>
            </w:r>
          </w:p>
          <w:p w14:paraId="46B39707" w14:textId="2CB90377" w:rsidR="00705ACF" w:rsidRPr="00FD1DC0" w:rsidRDefault="00A92151" w:rsidP="00705ACF">
            <w:pPr>
              <w:spacing w:after="0" w:line="240" w:lineRule="auto"/>
              <w:ind w:left="0" w:right="0" w:firstLine="0"/>
              <w:jc w:val="left"/>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Durbin-Watson: 1.8734</w:t>
            </w:r>
          </w:p>
          <w:p w14:paraId="72B5BD55" w14:textId="5047BCEE" w:rsidR="00705ACF" w:rsidRPr="00FD1DC0" w:rsidRDefault="00DC0BB0" w:rsidP="00705ACF">
            <w:pPr>
              <w:spacing w:after="0" w:line="240" w:lineRule="auto"/>
              <w:ind w:left="0" w:right="0" w:firstLine="0"/>
              <w:jc w:val="left"/>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Arch LM Test (p-value):</w:t>
            </w:r>
            <w:r w:rsidR="00A92151" w:rsidRPr="00FD1DC0">
              <w:rPr>
                <w:rFonts w:ascii="Times New Roman" w:eastAsia="Times New Roman" w:hAnsi="Times New Roman" w:cs="Times New Roman"/>
                <w:bCs/>
                <w:color w:val="auto"/>
                <w:sz w:val="18"/>
                <w:szCs w:val="18"/>
                <w:lang w:eastAsia="es-ES"/>
              </w:rPr>
              <w:t xml:space="preserve"> 0.0003</w:t>
            </w:r>
          </w:p>
        </w:tc>
      </w:tr>
    </w:tbl>
    <w:p w14:paraId="4A0220BA" w14:textId="2B2AD103" w:rsidR="00EE684F" w:rsidRPr="00FD1DC0" w:rsidRDefault="00E415A5" w:rsidP="00135F08">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0ED82FC8" w14:textId="191D518D" w:rsidR="00705ACF" w:rsidRPr="00FD1DC0" w:rsidRDefault="00705ACF" w:rsidP="00705ACF">
      <w:pPr>
        <w:autoSpaceDE w:val="0"/>
        <w:autoSpaceDN w:val="0"/>
        <w:adjustRightInd w:val="0"/>
        <w:spacing w:after="0" w:line="240" w:lineRule="auto"/>
        <w:ind w:left="0" w:right="0" w:firstLine="709"/>
        <w:jc w:val="center"/>
        <w:rPr>
          <w:rFonts w:ascii="Times New Roman" w:eastAsia="Times New Roman" w:hAnsi="Times New Roman" w:cs="Times New Roman"/>
          <w:b/>
          <w:color w:val="auto"/>
          <w:sz w:val="20"/>
          <w:szCs w:val="20"/>
          <w:lang w:val="es-ES" w:eastAsia="es-ES"/>
        </w:rPr>
      </w:pPr>
      <w:r w:rsidRPr="00FD1DC0">
        <w:rPr>
          <w:rFonts w:ascii="Times New Roman" w:eastAsia="Times New Roman" w:hAnsi="Times New Roman" w:cs="Times New Roman"/>
          <w:b/>
          <w:color w:val="auto"/>
          <w:sz w:val="20"/>
          <w:szCs w:val="20"/>
          <w:lang w:val="es-ES" w:eastAsia="es-ES"/>
        </w:rPr>
        <w:t>Cuadro 2</w:t>
      </w:r>
    </w:p>
    <w:p w14:paraId="16ADD7C9" w14:textId="5B56B298" w:rsidR="00705ACF" w:rsidRPr="00FD1DC0" w:rsidRDefault="00705ACF" w:rsidP="00705ACF">
      <w:pPr>
        <w:autoSpaceDE w:val="0"/>
        <w:autoSpaceDN w:val="0"/>
        <w:adjustRightInd w:val="0"/>
        <w:spacing w:after="0" w:line="240" w:lineRule="auto"/>
        <w:ind w:left="0" w:right="0" w:firstLine="709"/>
        <w:jc w:val="center"/>
        <w:rPr>
          <w:rFonts w:ascii="Times New Roman" w:eastAsia="Times New Roman" w:hAnsi="Times New Roman" w:cs="Times New Roman"/>
          <w:b/>
          <w:color w:val="auto"/>
          <w:sz w:val="20"/>
          <w:szCs w:val="20"/>
          <w:lang w:val="es-ES" w:eastAsia="es-ES"/>
        </w:rPr>
      </w:pPr>
      <w:r w:rsidRPr="00FD1DC0">
        <w:rPr>
          <w:rFonts w:ascii="Times New Roman" w:eastAsia="Times New Roman" w:hAnsi="Times New Roman" w:cs="Times New Roman"/>
          <w:b/>
          <w:color w:val="auto"/>
          <w:sz w:val="20"/>
          <w:szCs w:val="20"/>
          <w:lang w:val="es-ES" w:eastAsia="es-ES"/>
        </w:rPr>
        <w:t>Modelo Sarima para la tasa de depreciación cambiaria en Brasil</w:t>
      </w:r>
      <w:r w:rsidR="005D6AE9" w:rsidRPr="00FD1DC0">
        <w:rPr>
          <w:rFonts w:ascii="Times New Roman" w:eastAsia="Times New Roman" w:hAnsi="Times New Roman" w:cs="Times New Roman"/>
          <w:b/>
          <w:color w:val="auto"/>
          <w:sz w:val="20"/>
          <w:szCs w:val="20"/>
          <w:lang w:val="es-ES" w:eastAsia="es-ES"/>
        </w:rPr>
        <w:t xml:space="preserve"> (1996</w:t>
      </w:r>
      <w:r w:rsidR="00222AB6" w:rsidRPr="00FD1DC0">
        <w:rPr>
          <w:rFonts w:ascii="Times New Roman" w:eastAsia="Times New Roman" w:hAnsi="Times New Roman" w:cs="Times New Roman"/>
          <w:b/>
          <w:color w:val="auto"/>
          <w:sz w:val="20"/>
          <w:szCs w:val="20"/>
          <w:lang w:val="es-ES" w:eastAsia="es-ES"/>
        </w:rPr>
        <w:t>-2020)</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4149"/>
        <w:gridCol w:w="4279"/>
      </w:tblGrid>
      <w:tr w:rsidR="00705ACF" w:rsidRPr="00FD1DC0" w14:paraId="62FD99F9" w14:textId="77777777" w:rsidTr="00B10AA2">
        <w:trPr>
          <w:trHeight w:val="374"/>
          <w:jc w:val="center"/>
        </w:trPr>
        <w:tc>
          <w:tcPr>
            <w:tcW w:w="1172" w:type="dxa"/>
            <w:tcBorders>
              <w:top w:val="single" w:sz="4" w:space="0" w:color="auto"/>
              <w:left w:val="single" w:sz="4" w:space="0" w:color="auto"/>
              <w:bottom w:val="single" w:sz="4" w:space="0" w:color="auto"/>
              <w:right w:val="single" w:sz="4" w:space="0" w:color="auto"/>
            </w:tcBorders>
            <w:hideMark/>
          </w:tcPr>
          <w:p w14:paraId="263C027A"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Modelo</w:t>
            </w:r>
          </w:p>
        </w:tc>
        <w:tc>
          <w:tcPr>
            <w:tcW w:w="8428" w:type="dxa"/>
            <w:gridSpan w:val="2"/>
            <w:tcBorders>
              <w:top w:val="single" w:sz="4" w:space="0" w:color="auto"/>
              <w:left w:val="single" w:sz="4" w:space="0" w:color="auto"/>
              <w:bottom w:val="single" w:sz="4" w:space="0" w:color="auto"/>
              <w:right w:val="single" w:sz="4" w:space="0" w:color="auto"/>
            </w:tcBorders>
            <w:hideMark/>
          </w:tcPr>
          <w:p w14:paraId="6737CE98"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Ecuación</w:t>
            </w:r>
          </w:p>
        </w:tc>
      </w:tr>
      <w:tr w:rsidR="00705ACF" w:rsidRPr="00FD1DC0" w14:paraId="4E5194E5" w14:textId="77777777" w:rsidTr="00B10AA2">
        <w:trPr>
          <w:trHeight w:val="986"/>
          <w:jc w:val="center"/>
        </w:trPr>
        <w:tc>
          <w:tcPr>
            <w:tcW w:w="1172" w:type="dxa"/>
            <w:tcBorders>
              <w:top w:val="single" w:sz="4" w:space="0" w:color="auto"/>
              <w:left w:val="single" w:sz="4" w:space="0" w:color="auto"/>
              <w:bottom w:val="single" w:sz="4" w:space="0" w:color="auto"/>
              <w:right w:val="single" w:sz="4" w:space="0" w:color="auto"/>
            </w:tcBorders>
            <w:hideMark/>
          </w:tcPr>
          <w:p w14:paraId="3608CFDB"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Modelo</w:t>
            </w:r>
          </w:p>
          <w:p w14:paraId="0B1ADBB4" w14:textId="50733BE2"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Sarima</w:t>
            </w:r>
            <w:r w:rsidR="00A91982" w:rsidRPr="00FD1DC0">
              <w:rPr>
                <w:rFonts w:ascii="Times New Roman" w:eastAsia="Times New Roman" w:hAnsi="Times New Roman" w:cs="Times New Roman"/>
                <w:sz w:val="20"/>
                <w:szCs w:val="20"/>
                <w:lang w:val="es-ES" w:eastAsia="es-ES"/>
              </w:rPr>
              <w:t>x</w:t>
            </w:r>
          </w:p>
        </w:tc>
        <w:tc>
          <w:tcPr>
            <w:tcW w:w="8428" w:type="dxa"/>
            <w:gridSpan w:val="2"/>
            <w:tcBorders>
              <w:top w:val="single" w:sz="4" w:space="0" w:color="auto"/>
              <w:left w:val="single" w:sz="4" w:space="0" w:color="auto"/>
              <w:bottom w:val="single" w:sz="4" w:space="0" w:color="auto"/>
              <w:right w:val="single" w:sz="4" w:space="0" w:color="auto"/>
            </w:tcBorders>
            <w:hideMark/>
          </w:tcPr>
          <w:p w14:paraId="206B4562" w14:textId="5DF7B938" w:rsidR="00705ACF" w:rsidRPr="00FD1DC0" w:rsidRDefault="007D7F06" w:rsidP="00705ACF">
            <w:pPr>
              <w:autoSpaceDE w:val="0"/>
              <w:autoSpaceDN w:val="0"/>
              <w:adjustRightInd w:val="0"/>
              <w:spacing w:after="0" w:line="240" w:lineRule="auto"/>
              <w:ind w:left="0" w:right="0" w:firstLine="0"/>
              <w:jc w:val="left"/>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position w:val="-32"/>
                <w:szCs w:val="24"/>
                <w:lang w:val="es-ES" w:eastAsia="es-ES"/>
              </w:rPr>
              <w:object w:dxaOrig="7060" w:dyaOrig="760" w14:anchorId="3AE7A55D">
                <v:shape id="_x0000_i1052" type="#_x0000_t75" style="width:355pt;height:35.5pt" o:ole="">
                  <v:imagedata r:id="rId58" o:title=""/>
                </v:shape>
                <o:OLEObject Type="Embed" ProgID="Equation.3" ShapeID="_x0000_i1052" DrawAspect="Content" ObjectID="_1772226524" r:id="rId59"/>
              </w:object>
            </w:r>
          </w:p>
        </w:tc>
      </w:tr>
      <w:tr w:rsidR="00705ACF" w:rsidRPr="00FD1DC0" w14:paraId="2538F0AA" w14:textId="77777777" w:rsidTr="00B10AA2">
        <w:trPr>
          <w:trHeight w:val="547"/>
          <w:jc w:val="center"/>
        </w:trPr>
        <w:tc>
          <w:tcPr>
            <w:tcW w:w="1172" w:type="dxa"/>
            <w:tcBorders>
              <w:top w:val="single" w:sz="4" w:space="0" w:color="auto"/>
              <w:left w:val="single" w:sz="4" w:space="0" w:color="auto"/>
              <w:bottom w:val="single" w:sz="4" w:space="0" w:color="auto"/>
              <w:right w:val="single" w:sz="4" w:space="0" w:color="auto"/>
            </w:tcBorders>
            <w:hideMark/>
          </w:tcPr>
          <w:p w14:paraId="2AC9FC4B"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Estadísticos de</w:t>
            </w:r>
          </w:p>
          <w:p w14:paraId="21E0A0B1"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diagnostico</w:t>
            </w:r>
          </w:p>
        </w:tc>
        <w:tc>
          <w:tcPr>
            <w:tcW w:w="4149" w:type="dxa"/>
            <w:tcBorders>
              <w:top w:val="single" w:sz="4" w:space="0" w:color="auto"/>
              <w:left w:val="single" w:sz="4" w:space="0" w:color="auto"/>
              <w:bottom w:val="single" w:sz="4" w:space="0" w:color="auto"/>
              <w:right w:val="single" w:sz="4" w:space="0" w:color="auto"/>
            </w:tcBorders>
            <w:hideMark/>
          </w:tcPr>
          <w:p w14:paraId="418158CD" w14:textId="7FA43715" w:rsidR="00705ACF" w:rsidRPr="00FD1DC0" w:rsidRDefault="00705ACF"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R</w:t>
            </w:r>
            <w:r w:rsidRPr="00FD1DC0">
              <w:rPr>
                <w:rFonts w:ascii="Times New Roman" w:eastAsia="Times New Roman" w:hAnsi="Times New Roman" w:cs="Times New Roman"/>
                <w:bCs/>
                <w:color w:val="auto"/>
                <w:sz w:val="18"/>
                <w:szCs w:val="18"/>
                <w:vertAlign w:val="superscript"/>
                <w:lang w:eastAsia="es-ES"/>
              </w:rPr>
              <w:t>2</w:t>
            </w:r>
            <w:r w:rsidR="00D707B6" w:rsidRPr="00FD1DC0">
              <w:rPr>
                <w:rFonts w:ascii="Times New Roman" w:eastAsia="Times New Roman" w:hAnsi="Times New Roman" w:cs="Times New Roman"/>
                <w:bCs/>
                <w:color w:val="auto"/>
                <w:sz w:val="18"/>
                <w:szCs w:val="18"/>
                <w:lang w:eastAsia="es-ES"/>
              </w:rPr>
              <w:t>: 0.8762</w:t>
            </w:r>
          </w:p>
          <w:p w14:paraId="1A389AA6" w14:textId="3AEB9C8F" w:rsidR="00705ACF" w:rsidRPr="00FD1DC0" w:rsidRDefault="00D707B6"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Log likelihood: 343.456</w:t>
            </w:r>
          </w:p>
          <w:p w14:paraId="0891948C" w14:textId="468F2591" w:rsidR="00705ACF" w:rsidRPr="00FD1DC0" w:rsidRDefault="00C21CA0"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Schwarz criterion</w:t>
            </w:r>
            <w:r w:rsidR="00D707B6" w:rsidRPr="00FD1DC0">
              <w:rPr>
                <w:rFonts w:ascii="Times New Roman" w:eastAsia="Times New Roman" w:hAnsi="Times New Roman" w:cs="Times New Roman"/>
                <w:bCs/>
                <w:color w:val="auto"/>
                <w:sz w:val="18"/>
                <w:szCs w:val="18"/>
                <w:lang w:eastAsia="es-ES"/>
              </w:rPr>
              <w:t>: -5.5241</w:t>
            </w:r>
          </w:p>
          <w:p w14:paraId="53FC61DA" w14:textId="0EB8E27D" w:rsidR="00C21CA0" w:rsidRPr="00FD1DC0" w:rsidRDefault="00705ACF" w:rsidP="00705ACF">
            <w:pPr>
              <w:spacing w:after="0" w:line="240" w:lineRule="auto"/>
              <w:ind w:left="0" w:right="0" w:firstLine="0"/>
              <w:rPr>
                <w:rFonts w:ascii="Times New Roman" w:eastAsia="Times New Roman" w:hAnsi="Times New Roman" w:cs="Times New Roman"/>
                <w:sz w:val="18"/>
                <w:szCs w:val="18"/>
                <w:lang w:eastAsia="es-ES"/>
              </w:rPr>
            </w:pPr>
            <w:r w:rsidRPr="00FD1DC0">
              <w:rPr>
                <w:rFonts w:ascii="Times New Roman" w:eastAsia="Times New Roman" w:hAnsi="Times New Roman" w:cs="Times New Roman"/>
                <w:sz w:val="18"/>
                <w:szCs w:val="18"/>
                <w:lang w:eastAsia="es-ES"/>
              </w:rPr>
              <w:t xml:space="preserve">Jarque-Bera Test </w:t>
            </w:r>
            <w:r w:rsidR="00D707B6" w:rsidRPr="00FD1DC0">
              <w:rPr>
                <w:rFonts w:ascii="Times New Roman" w:eastAsia="Times New Roman" w:hAnsi="Times New Roman" w:cs="Times New Roman"/>
                <w:sz w:val="18"/>
                <w:szCs w:val="18"/>
                <w:lang w:eastAsia="es-ES"/>
              </w:rPr>
              <w:t>(p-value): 0.9872</w:t>
            </w:r>
          </w:p>
          <w:p w14:paraId="1442BB5E" w14:textId="77777777" w:rsidR="00705ACF" w:rsidRPr="00FD1DC0" w:rsidRDefault="00C21CA0" w:rsidP="00705ACF">
            <w:pPr>
              <w:autoSpaceDE w:val="0"/>
              <w:autoSpaceDN w:val="0"/>
              <w:adjustRightInd w:val="0"/>
              <w:spacing w:after="0" w:line="240" w:lineRule="auto"/>
              <w:ind w:left="0" w:right="0" w:firstLine="0"/>
              <w:jc w:val="left"/>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sz w:val="18"/>
                <w:szCs w:val="18"/>
                <w:lang w:eastAsia="es-ES"/>
              </w:rPr>
              <w:t>Número de observaciones: 324</w:t>
            </w:r>
          </w:p>
        </w:tc>
        <w:tc>
          <w:tcPr>
            <w:tcW w:w="4279" w:type="dxa"/>
            <w:tcBorders>
              <w:top w:val="single" w:sz="4" w:space="0" w:color="auto"/>
              <w:left w:val="single" w:sz="4" w:space="0" w:color="auto"/>
              <w:bottom w:val="single" w:sz="4" w:space="0" w:color="auto"/>
              <w:right w:val="single" w:sz="4" w:space="0" w:color="auto"/>
            </w:tcBorders>
            <w:hideMark/>
          </w:tcPr>
          <w:p w14:paraId="5F1AD073" w14:textId="219A4EF9" w:rsidR="00705ACF" w:rsidRPr="00FD1DC0" w:rsidRDefault="00705ACF" w:rsidP="00705ACF">
            <w:pPr>
              <w:spacing w:after="0" w:line="240" w:lineRule="auto"/>
              <w:ind w:left="0" w:right="0" w:firstLine="0"/>
              <w:rPr>
                <w:rFonts w:ascii="Times New Roman" w:eastAsia="Times New Roman" w:hAnsi="Times New Roman" w:cs="Times New Roman"/>
                <w:sz w:val="18"/>
                <w:szCs w:val="18"/>
                <w:lang w:eastAsia="es-ES"/>
              </w:rPr>
            </w:pPr>
            <w:r w:rsidRPr="00FD1DC0">
              <w:rPr>
                <w:rFonts w:ascii="Times New Roman" w:eastAsia="Times New Roman" w:hAnsi="Times New Roman" w:cs="Times New Roman"/>
                <w:sz w:val="18"/>
                <w:szCs w:val="18"/>
                <w:lang w:eastAsia="es-ES"/>
              </w:rPr>
              <w:t>Breusch-Godfrey Cor</w:t>
            </w:r>
            <w:r w:rsidR="00C21CA0" w:rsidRPr="00FD1DC0">
              <w:rPr>
                <w:rFonts w:ascii="Times New Roman" w:eastAsia="Times New Roman" w:hAnsi="Times New Roman" w:cs="Times New Roman"/>
                <w:sz w:val="18"/>
                <w:szCs w:val="18"/>
                <w:lang w:eastAsia="es-ES"/>
              </w:rPr>
              <w:t>re</w:t>
            </w:r>
            <w:r w:rsidR="00D707B6" w:rsidRPr="00FD1DC0">
              <w:rPr>
                <w:rFonts w:ascii="Times New Roman" w:eastAsia="Times New Roman" w:hAnsi="Times New Roman" w:cs="Times New Roman"/>
                <w:sz w:val="18"/>
                <w:szCs w:val="18"/>
                <w:lang w:eastAsia="es-ES"/>
              </w:rPr>
              <w:t>lation LM Test (p-value): 0.0923</w:t>
            </w:r>
          </w:p>
          <w:p w14:paraId="22BBBAAC" w14:textId="4899D862" w:rsidR="00705ACF" w:rsidRPr="00FD1DC0" w:rsidRDefault="00D707B6" w:rsidP="00705ACF">
            <w:pPr>
              <w:spacing w:after="0" w:line="240" w:lineRule="auto"/>
              <w:ind w:left="0" w:right="0" w:firstLine="0"/>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Akaike info criterion: -2.5467</w:t>
            </w:r>
          </w:p>
          <w:p w14:paraId="16F52BBC" w14:textId="537D43E6" w:rsidR="00705ACF" w:rsidRPr="00FD1DC0" w:rsidRDefault="00D707B6" w:rsidP="00705ACF">
            <w:pPr>
              <w:spacing w:after="0" w:line="240" w:lineRule="auto"/>
              <w:ind w:left="0" w:right="0" w:firstLine="0"/>
              <w:jc w:val="left"/>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Durbin-Watson: 1.9823</w:t>
            </w:r>
          </w:p>
          <w:p w14:paraId="569B7734" w14:textId="4CFD107A" w:rsidR="00705ACF" w:rsidRPr="00FD1DC0" w:rsidRDefault="00D707B6" w:rsidP="00705ACF">
            <w:pPr>
              <w:spacing w:after="0" w:line="240" w:lineRule="auto"/>
              <w:ind w:left="0" w:right="0" w:firstLine="0"/>
              <w:jc w:val="left"/>
              <w:rPr>
                <w:rFonts w:ascii="Times New Roman" w:eastAsia="Times New Roman" w:hAnsi="Times New Roman" w:cs="Times New Roman"/>
                <w:bCs/>
                <w:color w:val="auto"/>
                <w:sz w:val="18"/>
                <w:szCs w:val="18"/>
                <w:lang w:eastAsia="es-ES"/>
              </w:rPr>
            </w:pPr>
            <w:r w:rsidRPr="00FD1DC0">
              <w:rPr>
                <w:rFonts w:ascii="Times New Roman" w:eastAsia="Times New Roman" w:hAnsi="Times New Roman" w:cs="Times New Roman"/>
                <w:bCs/>
                <w:color w:val="auto"/>
                <w:sz w:val="18"/>
                <w:szCs w:val="18"/>
                <w:lang w:eastAsia="es-ES"/>
              </w:rPr>
              <w:t>Arch LM Test (p-value): 0.0234</w:t>
            </w:r>
          </w:p>
        </w:tc>
      </w:tr>
    </w:tbl>
    <w:p w14:paraId="585B064D"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7A57C0FC" w14:textId="77777777" w:rsidR="00705ACF" w:rsidRPr="00FD1DC0" w:rsidRDefault="00705ACF" w:rsidP="00EE1332">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noProof/>
          <w:color w:val="auto"/>
          <w:szCs w:val="24"/>
          <w:lang w:val="es-ES" w:eastAsia="es-MX"/>
        </w:rPr>
        <w:t xml:space="preserve">Asimismo, tambien se muestra en la gráfica 3 los correlogramas. Por otro lado, la gráfica 4 se muestran las funciones impulso respuesta para México y Brasil que en </w:t>
      </w:r>
      <w:r w:rsidRPr="00FD1DC0">
        <w:rPr>
          <w:rFonts w:ascii="Times New Roman" w:eastAsia="Times New Roman" w:hAnsi="Times New Roman" w:cs="Times New Roman"/>
          <w:color w:val="auto"/>
          <w:szCs w:val="24"/>
          <w:lang w:val="es-ES" w:eastAsia="es-ES"/>
        </w:rPr>
        <w:t>un modelo ARMA, correctamente especificado, teóricamente se espera que la respuesta ante una innovación desaparezca en forma asintótica, es decir que tienda a cero en un horizonte de corto plazo, esto es un indicador de que el modelo es estacionario. En tanto el impulso respuesta acumulado deberá tender al valor de largo plazo de la variable que se está modelando, también en un horizonte de corto plazo.</w:t>
      </w:r>
    </w:p>
    <w:p w14:paraId="7210463F" w14:textId="124C3370" w:rsidR="002F3BA1" w:rsidRPr="00FD1DC0" w:rsidRDefault="008C3613" w:rsidP="00EE1332">
      <w:pPr>
        <w:spacing w:after="0" w:line="360" w:lineRule="auto"/>
        <w:ind w:left="0" w:right="0" w:firstLine="0"/>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szCs w:val="24"/>
          <w:lang w:val="es-ES" w:eastAsia="es-ES"/>
        </w:rPr>
        <w:t>Asimismo,</w:t>
      </w:r>
      <w:r w:rsidR="00705ACF" w:rsidRPr="00FD1DC0">
        <w:rPr>
          <w:rFonts w:ascii="Times New Roman" w:eastAsia="Times New Roman" w:hAnsi="Times New Roman" w:cs="Times New Roman"/>
          <w:color w:val="auto"/>
          <w:szCs w:val="24"/>
          <w:lang w:val="es-ES" w:eastAsia="es-ES"/>
        </w:rPr>
        <w:t xml:space="preserve"> con respecto a las gráficas 1 y 2 este calcula y presenta el espectro de la variable residuos del modelo </w:t>
      </w:r>
      <w:r w:rsidR="00705ACF" w:rsidRPr="00FD1DC0">
        <w:rPr>
          <w:rFonts w:ascii="Times New Roman" w:eastAsia="Times New Roman" w:hAnsi="Times New Roman" w:cs="Times New Roman"/>
          <w:i/>
          <w:color w:val="auto"/>
          <w:szCs w:val="24"/>
          <w:lang w:val="es-ES" w:eastAsia="es-ES"/>
        </w:rPr>
        <w:t>SARIMA</w:t>
      </w:r>
      <w:r w:rsidR="004464D4" w:rsidRPr="00FD1DC0">
        <w:rPr>
          <w:rFonts w:ascii="Times New Roman" w:eastAsia="Times New Roman" w:hAnsi="Times New Roman" w:cs="Times New Roman"/>
          <w:i/>
          <w:color w:val="auto"/>
          <w:szCs w:val="24"/>
          <w:lang w:val="es-ES" w:eastAsia="es-ES"/>
        </w:rPr>
        <w:t>X</w:t>
      </w:r>
      <w:r w:rsidR="00705ACF" w:rsidRPr="00FD1DC0">
        <w:rPr>
          <w:rFonts w:ascii="Times New Roman" w:eastAsia="Times New Roman" w:hAnsi="Times New Roman" w:cs="Times New Roman"/>
          <w:color w:val="auto"/>
          <w:szCs w:val="24"/>
          <w:lang w:val="es-ES" w:eastAsia="es-ES"/>
        </w:rPr>
        <w:t xml:space="preserve"> tanto para M</w:t>
      </w:r>
      <w:r w:rsidR="0080583E" w:rsidRPr="00FD1DC0">
        <w:rPr>
          <w:rFonts w:ascii="Times New Roman" w:eastAsia="Times New Roman" w:hAnsi="Times New Roman" w:cs="Times New Roman"/>
          <w:color w:val="auto"/>
          <w:szCs w:val="24"/>
          <w:lang w:val="es-ES" w:eastAsia="es-ES"/>
        </w:rPr>
        <w:t>éxico y Brasil. Sin la opción (</w:t>
      </w:r>
      <w:r w:rsidR="0080583E" w:rsidRPr="00FD1DC0">
        <w:rPr>
          <w:rFonts w:ascii="Times New Roman" w:eastAsia="Times New Roman" w:hAnsi="Times New Roman" w:cs="Times New Roman"/>
          <w:i/>
          <w:color w:val="auto"/>
          <w:szCs w:val="24"/>
          <w:lang w:val="es-ES" w:eastAsia="es-ES"/>
        </w:rPr>
        <w:t>B</w:t>
      </w:r>
      <w:r w:rsidR="00705ACF" w:rsidRPr="00FD1DC0">
        <w:rPr>
          <w:rFonts w:ascii="Times New Roman" w:eastAsia="Times New Roman" w:hAnsi="Times New Roman" w:cs="Times New Roman"/>
          <w:i/>
          <w:color w:val="auto"/>
          <w:szCs w:val="24"/>
          <w:lang w:val="es-ES" w:eastAsia="es-ES"/>
        </w:rPr>
        <w:t>arlett</w:t>
      </w:r>
      <w:r w:rsidR="00705ACF" w:rsidRPr="00FD1DC0">
        <w:rPr>
          <w:rFonts w:ascii="Times New Roman" w:eastAsia="Times New Roman" w:hAnsi="Times New Roman" w:cs="Times New Roman"/>
          <w:color w:val="auto"/>
          <w:szCs w:val="24"/>
          <w:lang w:val="es-ES" w:eastAsia="es-ES"/>
        </w:rPr>
        <w:t>) se ofrece el periodograma</w:t>
      </w:r>
      <w:r w:rsidRPr="00FD1DC0">
        <w:rPr>
          <w:rFonts w:ascii="Times New Roman" w:eastAsia="Times New Roman" w:hAnsi="Times New Roman" w:cs="Times New Roman"/>
          <w:color w:val="auto"/>
          <w:szCs w:val="24"/>
          <w:lang w:val="es-ES" w:eastAsia="es-ES"/>
        </w:rPr>
        <w:t xml:space="preserve"> </w:t>
      </w:r>
      <w:r w:rsidR="00705ACF" w:rsidRPr="00FD1DC0">
        <w:rPr>
          <w:rFonts w:ascii="Times New Roman" w:eastAsia="Times New Roman" w:hAnsi="Times New Roman" w:cs="Times New Roman"/>
          <w:color w:val="auto"/>
          <w:szCs w:val="24"/>
          <w:lang w:val="es-ES" w:eastAsia="es-ES"/>
        </w:rPr>
        <w:t>muestral: con dicha opción. Se utiliza una ventana de retardos de Barlett de longitud 2(T) ^0.5 (donde T es el tamaño muestral para estimar el espectro). Ahora cuando se presenta el periodogra</w:t>
      </w:r>
      <w:r w:rsidRPr="00FD1DC0">
        <w:rPr>
          <w:rFonts w:ascii="Times New Roman" w:eastAsia="Times New Roman" w:hAnsi="Times New Roman" w:cs="Times New Roman"/>
          <w:color w:val="auto"/>
          <w:szCs w:val="24"/>
          <w:lang w:val="es-ES" w:eastAsia="es-ES"/>
        </w:rPr>
        <w:t xml:space="preserve">ma de medias </w:t>
      </w:r>
      <w:r w:rsidR="00CD601E" w:rsidRPr="00FD1DC0">
        <w:rPr>
          <w:rFonts w:ascii="Times New Roman" w:eastAsia="Times New Roman" w:hAnsi="Times New Roman" w:cs="Times New Roman"/>
          <w:color w:val="auto"/>
          <w:szCs w:val="24"/>
          <w:lang w:val="es-ES" w:eastAsia="es-ES"/>
        </w:rPr>
        <w:t>móviles</w:t>
      </w:r>
      <w:r w:rsidRPr="00FD1DC0">
        <w:rPr>
          <w:rFonts w:ascii="Times New Roman" w:eastAsia="Times New Roman" w:hAnsi="Times New Roman" w:cs="Times New Roman"/>
          <w:color w:val="auto"/>
          <w:szCs w:val="24"/>
          <w:lang w:val="es-ES" w:eastAsia="es-ES"/>
        </w:rPr>
        <w:t xml:space="preserve"> </w:t>
      </w:r>
      <w:r w:rsidR="00705ACF" w:rsidRPr="00FD1DC0">
        <w:rPr>
          <w:rFonts w:ascii="Times New Roman" w:eastAsia="Times New Roman" w:hAnsi="Times New Roman" w:cs="Times New Roman"/>
          <w:color w:val="auto"/>
          <w:szCs w:val="24"/>
          <w:lang w:val="es-ES" w:eastAsia="es-ES"/>
        </w:rPr>
        <w:t>muestral, también se proporciona un contraste t sobre integración fracci</w:t>
      </w:r>
      <w:r w:rsidR="00CD601E" w:rsidRPr="00FD1DC0">
        <w:rPr>
          <w:rFonts w:ascii="Times New Roman" w:eastAsia="Times New Roman" w:hAnsi="Times New Roman" w:cs="Times New Roman"/>
          <w:color w:val="auto"/>
          <w:szCs w:val="24"/>
          <w:lang w:val="es-ES" w:eastAsia="es-ES"/>
        </w:rPr>
        <w:t>onal de la serie “</w:t>
      </w:r>
      <w:r w:rsidR="00CD601E" w:rsidRPr="00FD1DC0">
        <w:rPr>
          <w:rFonts w:ascii="Times New Roman" w:eastAsia="Times New Roman" w:hAnsi="Times New Roman" w:cs="Times New Roman"/>
          <w:i/>
          <w:color w:val="auto"/>
          <w:szCs w:val="24"/>
          <w:lang w:val="es-ES" w:eastAsia="es-ES"/>
        </w:rPr>
        <w:t>residuos del S</w:t>
      </w:r>
      <w:r w:rsidR="00705ACF" w:rsidRPr="00FD1DC0">
        <w:rPr>
          <w:rFonts w:ascii="Times New Roman" w:eastAsia="Times New Roman" w:hAnsi="Times New Roman" w:cs="Times New Roman"/>
          <w:i/>
          <w:color w:val="auto"/>
          <w:szCs w:val="24"/>
          <w:lang w:val="es-ES" w:eastAsia="es-ES"/>
        </w:rPr>
        <w:t>arima</w:t>
      </w:r>
      <w:r w:rsidR="004464D4" w:rsidRPr="00FD1DC0">
        <w:rPr>
          <w:rFonts w:ascii="Times New Roman" w:eastAsia="Times New Roman" w:hAnsi="Times New Roman" w:cs="Times New Roman"/>
          <w:i/>
          <w:color w:val="auto"/>
          <w:szCs w:val="24"/>
          <w:lang w:val="es-ES" w:eastAsia="es-ES"/>
        </w:rPr>
        <w:t>x</w:t>
      </w:r>
      <w:r w:rsidR="00705ACF" w:rsidRPr="00FD1DC0">
        <w:rPr>
          <w:rFonts w:ascii="Times New Roman" w:eastAsia="Times New Roman" w:hAnsi="Times New Roman" w:cs="Times New Roman"/>
          <w:color w:val="auto"/>
          <w:szCs w:val="24"/>
          <w:lang w:val="es-ES" w:eastAsia="es-ES"/>
        </w:rPr>
        <w:t>” (memoria larga), donde la hipótesis nula es que el orden de integración es cero.</w:t>
      </w:r>
    </w:p>
    <w:p w14:paraId="1CA554E9" w14:textId="77777777"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Gráfico 1</w:t>
      </w:r>
    </w:p>
    <w:p w14:paraId="0DB739BA" w14:textId="419D87D8"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sz w:val="20"/>
          <w:szCs w:val="20"/>
          <w:lang w:val="es-ES" w:eastAsia="es-MX"/>
        </w:rPr>
        <w:t>Periodograma de los residuales del modelo SARIMA</w:t>
      </w:r>
      <w:r w:rsidR="004464D4" w:rsidRPr="00FD1DC0">
        <w:rPr>
          <w:rFonts w:ascii="Times New Roman" w:eastAsia="Times New Roman" w:hAnsi="Times New Roman" w:cs="Times New Roman"/>
          <w:b/>
          <w:sz w:val="20"/>
          <w:szCs w:val="20"/>
          <w:lang w:val="es-ES" w:eastAsia="es-MX"/>
        </w:rPr>
        <w:t>X</w:t>
      </w:r>
      <w:r w:rsidRPr="00FD1DC0">
        <w:rPr>
          <w:rFonts w:ascii="Times New Roman" w:eastAsia="Times New Roman" w:hAnsi="Times New Roman" w:cs="Times New Roman"/>
          <w:b/>
          <w:sz w:val="20"/>
          <w:szCs w:val="20"/>
          <w:lang w:val="es-ES" w:eastAsia="es-MX"/>
        </w:rPr>
        <w:t xml:space="preserve"> (Arriba) y Ventana de espectros de Bartlett</w:t>
      </w:r>
      <w:r w:rsidRPr="00FD1DC0">
        <w:rPr>
          <w:rFonts w:ascii="Times New Roman" w:eastAsia="Times New Roman" w:hAnsi="Times New Roman" w:cs="Times New Roman"/>
          <w:b/>
          <w:bCs/>
          <w:color w:val="auto"/>
          <w:sz w:val="20"/>
          <w:szCs w:val="20"/>
          <w:lang w:val="es-ES" w:eastAsia="es-ES"/>
        </w:rPr>
        <w:t xml:space="preserve"> (Abajo) para México</w:t>
      </w:r>
    </w:p>
    <w:p w14:paraId="492E4832" w14:textId="0A6294EA" w:rsidR="00705ACF" w:rsidRPr="00FD1DC0" w:rsidRDefault="00FB5B33" w:rsidP="00705ACF">
      <w:pPr>
        <w:autoSpaceDE w:val="0"/>
        <w:autoSpaceDN w:val="0"/>
        <w:adjustRightInd w:val="0"/>
        <w:spacing w:after="0" w:line="240" w:lineRule="auto"/>
        <w:ind w:left="0" w:right="0" w:firstLine="0"/>
        <w:jc w:val="center"/>
        <w:rPr>
          <w:rFonts w:eastAsia="Times New Roman"/>
          <w:b/>
          <w:sz w:val="20"/>
          <w:szCs w:val="20"/>
          <w:lang w:val="es-ES" w:eastAsia="es-MX"/>
        </w:rPr>
      </w:pPr>
      <w:r w:rsidRPr="00FD1DC0">
        <w:rPr>
          <w:b/>
          <w:noProof/>
          <w:sz w:val="20"/>
          <w:szCs w:val="20"/>
        </w:rPr>
        <w:drawing>
          <wp:inline distT="0" distB="0" distL="0" distR="0" wp14:anchorId="3D96C8A8" wp14:editId="62A32C52">
            <wp:extent cx="4653280" cy="1562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3280" cy="1562100"/>
                    </a:xfrm>
                    <a:prstGeom prst="rect">
                      <a:avLst/>
                    </a:prstGeom>
                    <a:noFill/>
                    <a:ln>
                      <a:noFill/>
                    </a:ln>
                  </pic:spPr>
                </pic:pic>
              </a:graphicData>
            </a:graphic>
          </wp:inline>
        </w:drawing>
      </w:r>
    </w:p>
    <w:p w14:paraId="74BD380B" w14:textId="77777777" w:rsidR="00FB5B33" w:rsidRPr="00FD1DC0" w:rsidRDefault="00FB5B33" w:rsidP="00FB5B33">
      <w:pPr>
        <w:autoSpaceDE w:val="0"/>
        <w:autoSpaceDN w:val="0"/>
        <w:adjustRightInd w:val="0"/>
        <w:spacing w:after="0" w:line="240" w:lineRule="auto"/>
        <w:ind w:left="62" w:right="539" w:hanging="11"/>
        <w:jc w:val="center"/>
        <w:rPr>
          <w:rFonts w:ascii="Times New Roman" w:hAnsi="Times New Roman" w:cs="Times New Roman"/>
          <w:sz w:val="18"/>
          <w:szCs w:val="18"/>
          <w:lang w:val="es-BO" w:eastAsia="es-MX"/>
        </w:rPr>
      </w:pPr>
      <w:r w:rsidRPr="00FD1DC0">
        <w:rPr>
          <w:rFonts w:ascii="Times New Roman" w:hAnsi="Times New Roman" w:cs="Times New Roman"/>
          <w:sz w:val="18"/>
          <w:szCs w:val="18"/>
          <w:lang w:val="es-BO" w:eastAsia="es-MX"/>
        </w:rPr>
        <w:t>Contraste GPH de integración fraccional (m = 32)</w:t>
      </w:r>
    </w:p>
    <w:p w14:paraId="1A1BE8C6" w14:textId="77777777" w:rsidR="00FB5B33" w:rsidRPr="00FD1DC0" w:rsidRDefault="00FB5B33" w:rsidP="00FB5B33">
      <w:pPr>
        <w:autoSpaceDE w:val="0"/>
        <w:autoSpaceDN w:val="0"/>
        <w:adjustRightInd w:val="0"/>
        <w:spacing w:after="0" w:line="240" w:lineRule="auto"/>
        <w:ind w:left="62" w:right="539" w:hanging="11"/>
        <w:jc w:val="center"/>
        <w:rPr>
          <w:rFonts w:ascii="Times New Roman" w:hAnsi="Times New Roman" w:cs="Times New Roman"/>
          <w:sz w:val="18"/>
          <w:szCs w:val="18"/>
          <w:lang w:val="es-BO" w:eastAsia="es-MX"/>
        </w:rPr>
      </w:pPr>
      <w:r w:rsidRPr="00FD1DC0">
        <w:rPr>
          <w:rFonts w:ascii="Times New Roman" w:hAnsi="Times New Roman" w:cs="Times New Roman"/>
          <w:sz w:val="18"/>
          <w:szCs w:val="18"/>
          <w:lang w:val="es-BO" w:eastAsia="es-MX"/>
        </w:rPr>
        <w:t xml:space="preserve">  Orden de integración estimado = 0.0704462 (0.136396)</w:t>
      </w:r>
    </w:p>
    <w:p w14:paraId="3BBDA143" w14:textId="77777777" w:rsidR="00FB5B33" w:rsidRPr="00FD1DC0" w:rsidRDefault="00FB5B33" w:rsidP="00FB5B33">
      <w:pPr>
        <w:autoSpaceDE w:val="0"/>
        <w:autoSpaceDN w:val="0"/>
        <w:adjustRightInd w:val="0"/>
        <w:spacing w:after="0" w:line="240" w:lineRule="auto"/>
        <w:ind w:left="62" w:right="539" w:hanging="11"/>
        <w:jc w:val="center"/>
        <w:rPr>
          <w:rFonts w:ascii="Times New Roman" w:hAnsi="Times New Roman" w:cs="Times New Roman"/>
          <w:sz w:val="18"/>
          <w:szCs w:val="18"/>
          <w:lang w:val="es-BO" w:eastAsia="es-MX"/>
        </w:rPr>
      </w:pPr>
      <w:r w:rsidRPr="00FD1DC0">
        <w:rPr>
          <w:rFonts w:ascii="Times New Roman" w:hAnsi="Times New Roman" w:cs="Times New Roman"/>
          <w:sz w:val="18"/>
          <w:szCs w:val="18"/>
          <w:lang w:val="es-BO" w:eastAsia="es-MX"/>
        </w:rPr>
        <w:t xml:space="preserve">  Estadístico de contraste: t(24) = 0.666453, con valor p = 0.763452</w:t>
      </w:r>
    </w:p>
    <w:p w14:paraId="74E05D0E" w14:textId="77777777" w:rsidR="00FB5B33" w:rsidRPr="00FD1DC0" w:rsidRDefault="00FB5B33" w:rsidP="00FB5B33">
      <w:pPr>
        <w:autoSpaceDE w:val="0"/>
        <w:autoSpaceDN w:val="0"/>
        <w:adjustRightInd w:val="0"/>
        <w:spacing w:after="0" w:line="240" w:lineRule="auto"/>
        <w:ind w:left="62" w:right="539" w:hanging="11"/>
        <w:contextualSpacing/>
        <w:jc w:val="center"/>
        <w:rPr>
          <w:rFonts w:ascii="Times New Roman" w:hAnsi="Times New Roman" w:cs="Times New Roman"/>
          <w:sz w:val="18"/>
          <w:szCs w:val="18"/>
          <w:lang w:val="es-BO" w:eastAsia="es-MX"/>
        </w:rPr>
      </w:pPr>
      <w:r w:rsidRPr="00FD1DC0">
        <w:rPr>
          <w:rFonts w:ascii="Times New Roman" w:hAnsi="Times New Roman" w:cs="Times New Roman"/>
          <w:sz w:val="18"/>
          <w:szCs w:val="18"/>
          <w:lang w:val="es-BO" w:eastAsia="es-MX"/>
        </w:rPr>
        <w:t>Estimador local de White (m = 32)</w:t>
      </w:r>
    </w:p>
    <w:p w14:paraId="5E5EDA7F" w14:textId="77777777" w:rsidR="00FB5B33" w:rsidRPr="00FD1DC0" w:rsidRDefault="00FB5B33" w:rsidP="00FB5B33">
      <w:pPr>
        <w:autoSpaceDE w:val="0"/>
        <w:autoSpaceDN w:val="0"/>
        <w:adjustRightInd w:val="0"/>
        <w:spacing w:after="0" w:line="240" w:lineRule="auto"/>
        <w:ind w:left="62" w:right="539" w:hanging="11"/>
        <w:contextualSpacing/>
        <w:jc w:val="center"/>
        <w:rPr>
          <w:rFonts w:ascii="Times New Roman" w:hAnsi="Times New Roman" w:cs="Times New Roman"/>
          <w:sz w:val="18"/>
          <w:szCs w:val="18"/>
          <w:lang w:val="es-BO" w:eastAsia="es-MX"/>
        </w:rPr>
      </w:pPr>
      <w:r w:rsidRPr="00FD1DC0">
        <w:rPr>
          <w:rFonts w:ascii="Times New Roman" w:hAnsi="Times New Roman" w:cs="Times New Roman"/>
          <w:sz w:val="18"/>
          <w:szCs w:val="18"/>
          <w:lang w:val="es-BO" w:eastAsia="es-MX"/>
        </w:rPr>
        <w:t xml:space="preserve">  Orden de integración estimado = 0.0602254 (0.0980581)</w:t>
      </w:r>
    </w:p>
    <w:p w14:paraId="77F11014" w14:textId="77777777" w:rsidR="00FB5B33" w:rsidRPr="00FD1DC0" w:rsidRDefault="00FB5B33" w:rsidP="00FB5B33">
      <w:pPr>
        <w:autoSpaceDE w:val="0"/>
        <w:autoSpaceDN w:val="0"/>
        <w:adjustRightInd w:val="0"/>
        <w:spacing w:after="0" w:line="240" w:lineRule="auto"/>
        <w:ind w:left="62" w:right="539" w:hanging="11"/>
        <w:contextualSpacing/>
        <w:jc w:val="center"/>
        <w:rPr>
          <w:rFonts w:ascii="Times New Roman" w:hAnsi="Times New Roman" w:cs="Times New Roman"/>
          <w:sz w:val="20"/>
          <w:szCs w:val="20"/>
          <w:lang w:val="es-BO" w:eastAsia="es-MX"/>
        </w:rPr>
      </w:pPr>
      <w:r w:rsidRPr="00FD1DC0">
        <w:rPr>
          <w:rFonts w:ascii="Times New Roman" w:hAnsi="Times New Roman" w:cs="Times New Roman"/>
          <w:sz w:val="18"/>
          <w:szCs w:val="18"/>
          <w:lang w:val="es-BO" w:eastAsia="es-MX"/>
        </w:rPr>
        <w:t xml:space="preserve">  Estadístico de contraste: z = 0.622201, con valor p: 0.7063</w:t>
      </w:r>
    </w:p>
    <w:p w14:paraId="02F77C33" w14:textId="078B7F60" w:rsidR="00FB5B33" w:rsidRPr="00FD1DC0" w:rsidRDefault="00FB5B33" w:rsidP="00705ACF">
      <w:pPr>
        <w:autoSpaceDE w:val="0"/>
        <w:autoSpaceDN w:val="0"/>
        <w:adjustRightInd w:val="0"/>
        <w:spacing w:after="0" w:line="240" w:lineRule="auto"/>
        <w:ind w:left="0" w:right="0" w:firstLine="0"/>
        <w:jc w:val="center"/>
        <w:rPr>
          <w:rFonts w:eastAsia="Times New Roman"/>
          <w:b/>
          <w:sz w:val="20"/>
          <w:szCs w:val="20"/>
          <w:lang w:val="es-BO" w:eastAsia="es-MX"/>
        </w:rPr>
      </w:pPr>
      <w:r w:rsidRPr="00FD1DC0">
        <w:rPr>
          <w:noProof/>
        </w:rPr>
        <w:drawing>
          <wp:inline distT="0" distB="0" distL="0" distR="0" wp14:anchorId="0DA243D8" wp14:editId="0CBA6FC2">
            <wp:extent cx="4679950" cy="15303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1530350"/>
                    </a:xfrm>
                    <a:prstGeom prst="rect">
                      <a:avLst/>
                    </a:prstGeom>
                    <a:noFill/>
                    <a:ln>
                      <a:noFill/>
                    </a:ln>
                  </pic:spPr>
                </pic:pic>
              </a:graphicData>
            </a:graphic>
          </wp:inline>
        </w:drawing>
      </w:r>
    </w:p>
    <w:p w14:paraId="4BE66EC6" w14:textId="237CDF24" w:rsidR="00EE1332" w:rsidRPr="00FD1DC0" w:rsidRDefault="00E415A5" w:rsidP="00AA5F27">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4FDCCE14" w14:textId="25B28008"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b/>
          <w:bCs/>
          <w:color w:val="auto"/>
          <w:sz w:val="16"/>
          <w:szCs w:val="16"/>
          <w:lang w:val="es-ES" w:eastAsia="es-ES"/>
        </w:rPr>
      </w:pPr>
      <w:r w:rsidRPr="00FD1DC0">
        <w:rPr>
          <w:rFonts w:ascii="Times New Roman" w:eastAsia="Times New Roman" w:hAnsi="Times New Roman" w:cs="Times New Roman"/>
          <w:b/>
          <w:bCs/>
          <w:color w:val="auto"/>
          <w:sz w:val="20"/>
          <w:szCs w:val="20"/>
          <w:lang w:val="es-ES" w:eastAsia="es-ES"/>
        </w:rPr>
        <w:t>Gráfica 2</w:t>
      </w:r>
    </w:p>
    <w:p w14:paraId="64DAA43D" w14:textId="77777777"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sz w:val="20"/>
          <w:szCs w:val="20"/>
          <w:lang w:val="es-ES" w:eastAsia="es-MX"/>
        </w:rPr>
        <w:t>Periodograma de los residuales del modelo SARIMA (Arriba) y Ventana de espectros de Bartlett</w:t>
      </w:r>
      <w:r w:rsidRPr="00FD1DC0">
        <w:rPr>
          <w:rFonts w:ascii="Times New Roman" w:eastAsia="Times New Roman" w:hAnsi="Times New Roman" w:cs="Times New Roman"/>
          <w:b/>
          <w:bCs/>
          <w:color w:val="auto"/>
          <w:sz w:val="20"/>
          <w:szCs w:val="20"/>
          <w:lang w:val="es-ES" w:eastAsia="es-ES"/>
        </w:rPr>
        <w:t xml:space="preserve"> (Abajo) para Brasil</w:t>
      </w:r>
    </w:p>
    <w:p w14:paraId="32DBA33C" w14:textId="7D7117FD" w:rsidR="00705ACF" w:rsidRPr="00FD1DC0" w:rsidRDefault="00EF3B49" w:rsidP="00705ACF">
      <w:pPr>
        <w:autoSpaceDE w:val="0"/>
        <w:autoSpaceDN w:val="0"/>
        <w:adjustRightInd w:val="0"/>
        <w:spacing w:after="0" w:line="240" w:lineRule="auto"/>
        <w:ind w:left="0" w:right="0" w:firstLine="0"/>
        <w:jc w:val="center"/>
        <w:rPr>
          <w:rFonts w:eastAsia="Times New Roman"/>
          <w:b/>
          <w:sz w:val="20"/>
          <w:szCs w:val="20"/>
          <w:lang w:val="es-ES" w:eastAsia="es-MX"/>
        </w:rPr>
      </w:pPr>
      <w:r w:rsidRPr="00FD1DC0">
        <w:rPr>
          <w:rFonts w:eastAsia="Times New Roman"/>
          <w:b/>
          <w:noProof/>
          <w:sz w:val="20"/>
          <w:szCs w:val="20"/>
        </w:rPr>
        <w:drawing>
          <wp:inline distT="0" distB="0" distL="0" distR="0" wp14:anchorId="01BB8312" wp14:editId="7355EB84">
            <wp:extent cx="4483100" cy="155575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83100" cy="1555750"/>
                    </a:xfrm>
                    <a:prstGeom prst="rect">
                      <a:avLst/>
                    </a:prstGeom>
                    <a:noFill/>
                    <a:ln>
                      <a:noFill/>
                    </a:ln>
                  </pic:spPr>
                </pic:pic>
              </a:graphicData>
            </a:graphic>
          </wp:inline>
        </w:drawing>
      </w:r>
    </w:p>
    <w:p w14:paraId="2F11FDEE"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Contraste GPH de integración fraccional (m = 25)</w:t>
      </w:r>
    </w:p>
    <w:p w14:paraId="604751BA" w14:textId="20F91D04"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 xml:space="preserve">  Orde</w:t>
      </w:r>
      <w:r w:rsidR="00FB7B4F" w:rsidRPr="00FD1DC0">
        <w:rPr>
          <w:rFonts w:ascii="Times New Roman" w:eastAsia="Times New Roman" w:hAnsi="Times New Roman" w:cs="Times New Roman"/>
          <w:sz w:val="18"/>
          <w:szCs w:val="18"/>
          <w:lang w:val="es-ES" w:eastAsia="es-MX"/>
        </w:rPr>
        <w:t>n de integración estimado = 0.458712 (0.2345</w:t>
      </w:r>
      <w:r w:rsidRPr="00FD1DC0">
        <w:rPr>
          <w:rFonts w:ascii="Times New Roman" w:eastAsia="Times New Roman" w:hAnsi="Times New Roman" w:cs="Times New Roman"/>
          <w:sz w:val="18"/>
          <w:szCs w:val="18"/>
          <w:lang w:val="es-ES" w:eastAsia="es-MX"/>
        </w:rPr>
        <w:t>84)</w:t>
      </w:r>
    </w:p>
    <w:p w14:paraId="2B17243D" w14:textId="0D87C153"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 xml:space="preserve">  Estadístico de contraste: t (23</w:t>
      </w:r>
      <w:r w:rsidR="00FB7B4F" w:rsidRPr="00FD1DC0">
        <w:rPr>
          <w:rFonts w:ascii="Times New Roman" w:eastAsia="Times New Roman" w:hAnsi="Times New Roman" w:cs="Times New Roman"/>
          <w:sz w:val="18"/>
          <w:szCs w:val="18"/>
          <w:lang w:val="es-ES" w:eastAsia="es-MX"/>
        </w:rPr>
        <w:t>) = 1.13337, con valor p = 0.4324</w:t>
      </w:r>
    </w:p>
    <w:p w14:paraId="31D5FF91" w14:textId="77777777"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Estimador local de White (m = 25)</w:t>
      </w:r>
    </w:p>
    <w:p w14:paraId="79BA3B7C" w14:textId="4276E642"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 xml:space="preserve">  Orden d</w:t>
      </w:r>
      <w:r w:rsidR="00FB7B4F" w:rsidRPr="00FD1DC0">
        <w:rPr>
          <w:rFonts w:ascii="Times New Roman" w:eastAsia="Times New Roman" w:hAnsi="Times New Roman" w:cs="Times New Roman"/>
          <w:sz w:val="18"/>
          <w:szCs w:val="18"/>
          <w:lang w:val="es-ES" w:eastAsia="es-MX"/>
        </w:rPr>
        <w:t>e integración estimado = -0.725</w:t>
      </w:r>
      <w:r w:rsidRPr="00FD1DC0">
        <w:rPr>
          <w:rFonts w:ascii="Times New Roman" w:eastAsia="Times New Roman" w:hAnsi="Times New Roman" w:cs="Times New Roman"/>
          <w:sz w:val="18"/>
          <w:szCs w:val="18"/>
          <w:lang w:val="es-ES" w:eastAsia="es-MX"/>
        </w:rPr>
        <w:t>394 (0.1)</w:t>
      </w:r>
    </w:p>
    <w:p w14:paraId="7888EDC4" w14:textId="4E2E30D9" w:rsidR="00705ACF" w:rsidRPr="00FD1DC0" w:rsidRDefault="00705ACF" w:rsidP="00705ACF">
      <w:pPr>
        <w:autoSpaceDE w:val="0"/>
        <w:autoSpaceDN w:val="0"/>
        <w:adjustRightInd w:val="0"/>
        <w:spacing w:after="0" w:line="240" w:lineRule="auto"/>
        <w:ind w:left="0" w:right="0" w:firstLine="0"/>
        <w:jc w:val="center"/>
        <w:rPr>
          <w:rFonts w:ascii="Times New Roman" w:eastAsia="Times New Roman" w:hAnsi="Times New Roman" w:cs="Times New Roman"/>
          <w:sz w:val="18"/>
          <w:szCs w:val="18"/>
          <w:lang w:val="es-ES" w:eastAsia="es-MX"/>
        </w:rPr>
      </w:pPr>
      <w:r w:rsidRPr="00FD1DC0">
        <w:rPr>
          <w:rFonts w:ascii="Times New Roman" w:eastAsia="Times New Roman" w:hAnsi="Times New Roman" w:cs="Times New Roman"/>
          <w:sz w:val="18"/>
          <w:szCs w:val="18"/>
          <w:lang w:val="es-ES" w:eastAsia="es-MX"/>
        </w:rPr>
        <w:t xml:space="preserve">  Estadístico de contraste: z</w:t>
      </w:r>
      <w:r w:rsidR="00FB7B4F" w:rsidRPr="00FD1DC0">
        <w:rPr>
          <w:rFonts w:ascii="Times New Roman" w:eastAsia="Times New Roman" w:hAnsi="Times New Roman" w:cs="Times New Roman"/>
          <w:sz w:val="18"/>
          <w:szCs w:val="18"/>
          <w:lang w:val="es-ES" w:eastAsia="es-MX"/>
        </w:rPr>
        <w:t xml:space="preserve"> = -0.87234, con valor p = 0.1342</w:t>
      </w:r>
    </w:p>
    <w:p w14:paraId="381683CC" w14:textId="132B12B0" w:rsidR="00705ACF" w:rsidRPr="00FD1DC0" w:rsidRDefault="00EF3B49" w:rsidP="00705ACF">
      <w:pPr>
        <w:autoSpaceDE w:val="0"/>
        <w:autoSpaceDN w:val="0"/>
        <w:adjustRightInd w:val="0"/>
        <w:spacing w:after="0" w:line="240" w:lineRule="auto"/>
        <w:ind w:left="0" w:right="0" w:firstLine="0"/>
        <w:jc w:val="center"/>
        <w:rPr>
          <w:rFonts w:eastAsia="Times New Roman"/>
          <w:szCs w:val="24"/>
          <w:lang w:val="es-ES" w:eastAsia="es-MX"/>
        </w:rPr>
      </w:pPr>
      <w:r w:rsidRPr="00FD1DC0">
        <w:rPr>
          <w:rFonts w:eastAsia="Times New Roman"/>
          <w:noProof/>
          <w:szCs w:val="24"/>
        </w:rPr>
        <w:drawing>
          <wp:inline distT="0" distB="0" distL="0" distR="0" wp14:anchorId="42CBB014" wp14:editId="32D4738B">
            <wp:extent cx="4349750" cy="1638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9750" cy="1638300"/>
                    </a:xfrm>
                    <a:prstGeom prst="rect">
                      <a:avLst/>
                    </a:prstGeom>
                    <a:noFill/>
                    <a:ln>
                      <a:noFill/>
                    </a:ln>
                  </pic:spPr>
                </pic:pic>
              </a:graphicData>
            </a:graphic>
          </wp:inline>
        </w:drawing>
      </w:r>
    </w:p>
    <w:p w14:paraId="307447B9"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4DC79DC8" w14:textId="77777777"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Gráfica 3</w:t>
      </w:r>
    </w:p>
    <w:p w14:paraId="7DFCDE57" w14:textId="43F1B45D"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C</w:t>
      </w:r>
      <w:r w:rsidR="000F4C02" w:rsidRPr="00FD1DC0">
        <w:rPr>
          <w:rFonts w:ascii="Times New Roman" w:eastAsia="Times New Roman" w:hAnsi="Times New Roman" w:cs="Times New Roman"/>
          <w:b/>
          <w:bCs/>
          <w:color w:val="auto"/>
          <w:sz w:val="20"/>
          <w:szCs w:val="20"/>
          <w:lang w:val="es-ES" w:eastAsia="es-ES"/>
        </w:rPr>
        <w:t>o</w:t>
      </w:r>
      <w:r w:rsidRPr="00FD1DC0">
        <w:rPr>
          <w:rFonts w:ascii="Times New Roman" w:eastAsia="Times New Roman" w:hAnsi="Times New Roman" w:cs="Times New Roman"/>
          <w:b/>
          <w:bCs/>
          <w:color w:val="auto"/>
          <w:sz w:val="20"/>
          <w:szCs w:val="20"/>
          <w:lang w:val="es-ES" w:eastAsia="es-ES"/>
        </w:rPr>
        <w:t>rrelograma del modelo Sarima México</w:t>
      </w:r>
    </w:p>
    <w:p w14:paraId="68EAA3E4" w14:textId="4D555EB6" w:rsidR="00705ACF" w:rsidRPr="00FD1DC0" w:rsidRDefault="00DB369A" w:rsidP="00705ACF">
      <w:pPr>
        <w:spacing w:after="0" w:line="240" w:lineRule="auto"/>
        <w:ind w:left="0" w:right="0" w:firstLine="0"/>
        <w:jc w:val="center"/>
        <w:rPr>
          <w:rFonts w:ascii="Arial,Bold" w:eastAsia="Times New Roman" w:hAnsi="Arial,Bold" w:cs="Arial,Bold"/>
          <w:b/>
          <w:noProof/>
          <w:color w:val="auto"/>
          <w:sz w:val="20"/>
          <w:szCs w:val="20"/>
          <w:lang w:val="es-ES" w:eastAsia="es-MX"/>
        </w:rPr>
      </w:pPr>
      <w:r w:rsidRPr="00FD1DC0">
        <w:rPr>
          <w:rFonts w:ascii="Arial,Bold" w:hAnsi="Arial,Bold" w:cs="Arial,Bold"/>
          <w:b/>
          <w:noProof/>
          <w:sz w:val="20"/>
          <w:szCs w:val="20"/>
        </w:rPr>
        <w:drawing>
          <wp:inline distT="0" distB="0" distL="0" distR="0" wp14:anchorId="5F1F401C" wp14:editId="2ADCEF65">
            <wp:extent cx="5589270" cy="1206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9270" cy="1206500"/>
                    </a:xfrm>
                    <a:prstGeom prst="rect">
                      <a:avLst/>
                    </a:prstGeom>
                    <a:noFill/>
                    <a:ln>
                      <a:noFill/>
                    </a:ln>
                  </pic:spPr>
                </pic:pic>
              </a:graphicData>
            </a:graphic>
          </wp:inline>
        </w:drawing>
      </w:r>
    </w:p>
    <w:p w14:paraId="0C9E5E70" w14:textId="34B9639E" w:rsidR="00705ACF" w:rsidRPr="00FD1DC0" w:rsidRDefault="00205E65"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Co</w:t>
      </w:r>
      <w:r w:rsidR="00705ACF" w:rsidRPr="00FD1DC0">
        <w:rPr>
          <w:rFonts w:ascii="Times New Roman" w:eastAsia="Times New Roman" w:hAnsi="Times New Roman" w:cs="Times New Roman"/>
          <w:b/>
          <w:bCs/>
          <w:color w:val="auto"/>
          <w:sz w:val="20"/>
          <w:szCs w:val="20"/>
          <w:lang w:val="es-ES" w:eastAsia="es-ES"/>
        </w:rPr>
        <w:t>rrelograma del modelo Sarima Brasil</w:t>
      </w:r>
    </w:p>
    <w:p w14:paraId="3299A4C9" w14:textId="50A560F4" w:rsidR="00705ACF" w:rsidRPr="00FD1DC0" w:rsidRDefault="00DB369A" w:rsidP="00705ACF">
      <w:pPr>
        <w:spacing w:after="0" w:line="240" w:lineRule="auto"/>
        <w:ind w:left="0" w:right="0" w:firstLine="0"/>
        <w:jc w:val="center"/>
        <w:rPr>
          <w:rFonts w:ascii="Arial,Bold" w:eastAsia="Times New Roman" w:hAnsi="Arial,Bold" w:cs="Arial,Bold"/>
          <w:b/>
          <w:noProof/>
          <w:color w:val="auto"/>
          <w:sz w:val="20"/>
          <w:szCs w:val="20"/>
          <w:lang w:val="es-ES" w:eastAsia="es-MX"/>
        </w:rPr>
      </w:pPr>
      <w:r w:rsidRPr="00FD1DC0">
        <w:rPr>
          <w:rFonts w:ascii="Arial,Bold" w:hAnsi="Arial,Bold" w:cs="Arial,Bold"/>
          <w:b/>
          <w:noProof/>
          <w:sz w:val="20"/>
          <w:szCs w:val="20"/>
        </w:rPr>
        <w:drawing>
          <wp:inline distT="0" distB="0" distL="0" distR="0" wp14:anchorId="67DAADF8" wp14:editId="577773E8">
            <wp:extent cx="5467350" cy="1187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7350" cy="1187450"/>
                    </a:xfrm>
                    <a:prstGeom prst="rect">
                      <a:avLst/>
                    </a:prstGeom>
                    <a:noFill/>
                    <a:ln>
                      <a:noFill/>
                    </a:ln>
                  </pic:spPr>
                </pic:pic>
              </a:graphicData>
            </a:graphic>
          </wp:inline>
        </w:drawing>
      </w:r>
    </w:p>
    <w:p w14:paraId="2B9E54D4" w14:textId="3E888E09" w:rsidR="00EE1332" w:rsidRPr="00FD1DC0" w:rsidRDefault="00E415A5" w:rsidP="00AA5F27">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6DEB2D84" w14:textId="1A5AE20A"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Gráfica 4</w:t>
      </w:r>
    </w:p>
    <w:p w14:paraId="723E0AE6" w14:textId="77777777" w:rsidR="00705ACF" w:rsidRPr="00FD1DC0" w:rsidRDefault="00705ACF" w:rsidP="00705ACF">
      <w:pPr>
        <w:spacing w:after="0" w:line="240" w:lineRule="auto"/>
        <w:ind w:left="0" w:right="0" w:firstLine="0"/>
        <w:jc w:val="center"/>
        <w:rPr>
          <w:rFonts w:ascii="Times New Roman" w:eastAsia="Times New Roman" w:hAnsi="Times New Roman" w:cs="Times New Roman"/>
          <w:b/>
          <w:bCs/>
          <w:color w:val="auto"/>
          <w:sz w:val="20"/>
          <w:szCs w:val="20"/>
          <w:lang w:val="es-ES" w:eastAsia="es-ES"/>
        </w:rPr>
      </w:pPr>
      <w:r w:rsidRPr="00FD1DC0">
        <w:rPr>
          <w:rFonts w:ascii="Times New Roman" w:eastAsia="Times New Roman" w:hAnsi="Times New Roman" w:cs="Times New Roman"/>
          <w:b/>
          <w:bCs/>
          <w:color w:val="auto"/>
          <w:sz w:val="20"/>
          <w:szCs w:val="20"/>
          <w:lang w:val="es-ES" w:eastAsia="es-ES"/>
        </w:rPr>
        <w:t>Estabilidad del Modelo SARIMA (FIR acumulado y sin acumular) México</w:t>
      </w:r>
    </w:p>
    <w:p w14:paraId="74F05099" w14:textId="49E7A971" w:rsidR="00AA5F27" w:rsidRPr="00FD1DC0" w:rsidRDefault="000F165E" w:rsidP="00DB369A">
      <w:pPr>
        <w:spacing w:after="0" w:line="240" w:lineRule="auto"/>
        <w:ind w:left="0" w:right="0" w:firstLine="0"/>
        <w:jc w:val="center"/>
        <w:rPr>
          <w:rFonts w:ascii="Arial,Bold" w:eastAsia="Times New Roman" w:hAnsi="Arial,Bold" w:cs="Arial,Bold"/>
          <w:b/>
          <w:noProof/>
          <w:color w:val="auto"/>
          <w:sz w:val="20"/>
          <w:szCs w:val="20"/>
          <w:lang w:val="es-ES" w:eastAsia="es-MX"/>
        </w:rPr>
      </w:pPr>
      <w:r w:rsidRPr="00FD1DC0">
        <w:object w:dxaOrig="7366" w:dyaOrig="6076" w14:anchorId="731F2777">
          <v:shape id="_x0000_i1053" type="#_x0000_t75" style="width:390.5pt;height:147pt" o:ole="">
            <v:imagedata r:id="rId66" o:title=""/>
          </v:shape>
          <o:OLEObject Type="Embed" ProgID="EViews.Workfile.2" ShapeID="_x0000_i1053" DrawAspect="Content" ObjectID="_1772226525" r:id="rId67"/>
        </w:object>
      </w:r>
    </w:p>
    <w:p w14:paraId="7C440391" w14:textId="27FD319A" w:rsidR="00705ACF" w:rsidRPr="00FD1DC0" w:rsidRDefault="00705ACF" w:rsidP="00705ACF">
      <w:pPr>
        <w:spacing w:after="0" w:line="240" w:lineRule="auto"/>
        <w:ind w:left="0" w:right="0" w:firstLine="0"/>
        <w:jc w:val="center"/>
        <w:rPr>
          <w:rFonts w:ascii="Arial,Bold" w:eastAsia="Times New Roman" w:hAnsi="Arial,Bold" w:cs="Arial,Bold"/>
          <w:b/>
          <w:noProof/>
          <w:color w:val="auto"/>
          <w:sz w:val="20"/>
          <w:szCs w:val="20"/>
          <w:lang w:val="es-ES" w:eastAsia="es-MX"/>
        </w:rPr>
      </w:pPr>
      <w:r w:rsidRPr="00FD1DC0">
        <w:rPr>
          <w:rFonts w:ascii="Times New Roman" w:eastAsia="Times New Roman" w:hAnsi="Times New Roman" w:cs="Times New Roman"/>
          <w:b/>
          <w:bCs/>
          <w:color w:val="auto"/>
          <w:sz w:val="20"/>
          <w:szCs w:val="20"/>
          <w:lang w:val="es-ES" w:eastAsia="es-ES"/>
        </w:rPr>
        <w:t>Estabilidad del Modelo SARIMA (FIR acumulado y sin acumular) Brasil</w:t>
      </w:r>
    </w:p>
    <w:p w14:paraId="5849C8D0" w14:textId="049B216D" w:rsidR="00705ACF" w:rsidRPr="00FD1DC0" w:rsidRDefault="00DB369A" w:rsidP="00705ACF">
      <w:pPr>
        <w:spacing w:after="0" w:line="240" w:lineRule="auto"/>
        <w:ind w:left="0" w:right="0" w:firstLine="0"/>
        <w:jc w:val="center"/>
        <w:rPr>
          <w:rFonts w:ascii="Arial,Bold" w:eastAsia="Times New Roman" w:hAnsi="Arial,Bold" w:cs="Arial,Bold"/>
          <w:b/>
          <w:noProof/>
          <w:color w:val="auto"/>
          <w:sz w:val="20"/>
          <w:szCs w:val="20"/>
          <w:lang w:val="es-ES" w:eastAsia="es-MX"/>
        </w:rPr>
      </w:pPr>
      <w:r w:rsidRPr="00FD1DC0">
        <w:rPr>
          <w:rFonts w:ascii="Arial,Bold" w:hAnsi="Arial,Bold" w:cs="Arial,Bold"/>
          <w:b/>
          <w:noProof/>
          <w:sz w:val="20"/>
          <w:szCs w:val="20"/>
        </w:rPr>
        <w:drawing>
          <wp:inline distT="0" distB="0" distL="0" distR="0" wp14:anchorId="6AB94997" wp14:editId="54CF3501">
            <wp:extent cx="4914900" cy="1809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1809750"/>
                    </a:xfrm>
                    <a:prstGeom prst="rect">
                      <a:avLst/>
                    </a:prstGeom>
                    <a:noFill/>
                    <a:ln>
                      <a:noFill/>
                    </a:ln>
                  </pic:spPr>
                </pic:pic>
              </a:graphicData>
            </a:graphic>
          </wp:inline>
        </w:drawing>
      </w:r>
    </w:p>
    <w:p w14:paraId="7DAEB1E4"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045A2682" w14:textId="16B4CA01" w:rsidR="00705ACF" w:rsidRPr="00FD1DC0" w:rsidRDefault="00705ACF" w:rsidP="00EE1332">
      <w:pPr>
        <w:spacing w:after="0" w:line="360" w:lineRule="auto"/>
        <w:ind w:left="0" w:right="0" w:firstLine="0"/>
        <w:rPr>
          <w:rFonts w:ascii="Times New Roman" w:eastAsia="Times New Roman" w:hAnsi="Times New Roman" w:cs="Times New Roman"/>
          <w:bCs/>
          <w:color w:val="auto"/>
          <w:szCs w:val="24"/>
          <w:lang w:val="es-ES" w:eastAsia="es-ES"/>
        </w:rPr>
      </w:pPr>
      <w:r w:rsidRPr="00FD1DC0">
        <w:rPr>
          <w:rFonts w:ascii="Times New Roman" w:eastAsia="Times New Roman" w:hAnsi="Times New Roman" w:cs="Times New Roman"/>
          <w:bCs/>
          <w:color w:val="auto"/>
          <w:szCs w:val="24"/>
          <w:lang w:val="es-ES" w:eastAsia="es-ES"/>
        </w:rPr>
        <w:t xml:space="preserve">En este caso en la gráfica 4 de las funciones impulso respuesta tanto para México y Brasil, podemos advertir que la respuesta acumulada y sin acumular de </w:t>
      </w:r>
      <w:r w:rsidR="00322207" w:rsidRPr="00FD1DC0">
        <w:rPr>
          <w:rFonts w:ascii="Times New Roman" w:hAnsi="Times New Roman" w:cs="Times New Roman"/>
          <w:lang w:val="es-BO"/>
        </w:rPr>
        <w:t>la tasa de variación mensual del tipo de cambio real</w:t>
      </w:r>
      <w:r w:rsidRPr="00FD1DC0">
        <w:rPr>
          <w:rFonts w:ascii="Times New Roman" w:eastAsia="Times New Roman" w:hAnsi="Times New Roman" w:cs="Times New Roman"/>
          <w:bCs/>
          <w:color w:val="auto"/>
          <w:szCs w:val="24"/>
          <w:lang w:val="es-ES" w:eastAsia="es-ES"/>
        </w:rPr>
        <w:t xml:space="preserve"> debido al impulso de un shock equivalente al valor de una unidad de desviación estándar de la innovación, es positivo, estadísticamente significativo y además desaparece en forma as</w:t>
      </w:r>
      <w:r w:rsidR="00743B0D" w:rsidRPr="00FD1DC0">
        <w:rPr>
          <w:rFonts w:ascii="Times New Roman" w:eastAsia="Times New Roman" w:hAnsi="Times New Roman" w:cs="Times New Roman"/>
          <w:bCs/>
          <w:color w:val="auto"/>
          <w:szCs w:val="24"/>
          <w:lang w:val="es-ES" w:eastAsia="es-ES"/>
        </w:rPr>
        <w:t>intótica en un lapso no más de 12</w:t>
      </w:r>
      <w:r w:rsidRPr="00FD1DC0">
        <w:rPr>
          <w:rFonts w:ascii="Times New Roman" w:eastAsia="Times New Roman" w:hAnsi="Times New Roman" w:cs="Times New Roman"/>
          <w:bCs/>
          <w:color w:val="auto"/>
          <w:szCs w:val="24"/>
          <w:lang w:val="es-ES" w:eastAsia="es-ES"/>
        </w:rPr>
        <w:t xml:space="preserve"> m</w:t>
      </w:r>
      <w:r w:rsidR="00743B0D" w:rsidRPr="00FD1DC0">
        <w:rPr>
          <w:rFonts w:ascii="Times New Roman" w:eastAsia="Times New Roman" w:hAnsi="Times New Roman" w:cs="Times New Roman"/>
          <w:bCs/>
          <w:color w:val="auto"/>
          <w:szCs w:val="24"/>
          <w:lang w:val="es-ES" w:eastAsia="es-ES"/>
        </w:rPr>
        <w:t>eses en promedio para México y 14</w:t>
      </w:r>
      <w:r w:rsidRPr="00FD1DC0">
        <w:rPr>
          <w:rFonts w:ascii="Times New Roman" w:eastAsia="Times New Roman" w:hAnsi="Times New Roman" w:cs="Times New Roman"/>
          <w:bCs/>
          <w:color w:val="auto"/>
          <w:szCs w:val="24"/>
          <w:lang w:val="es-ES" w:eastAsia="es-ES"/>
        </w:rPr>
        <w:t xml:space="preserve"> meses para Brasil.</w:t>
      </w:r>
    </w:p>
    <w:p w14:paraId="19D9E24A" w14:textId="0F63C266" w:rsidR="00AA5F27" w:rsidRDefault="00705ACF" w:rsidP="006D608E">
      <w:pPr>
        <w:spacing w:after="0" w:line="360" w:lineRule="auto"/>
        <w:ind w:left="0" w:right="0" w:firstLine="0"/>
        <w:rPr>
          <w:rFonts w:ascii="Times New Roman" w:eastAsia="Times New Roman" w:hAnsi="Times New Roman" w:cs="Times New Roman"/>
          <w:bCs/>
          <w:color w:val="auto"/>
          <w:szCs w:val="24"/>
          <w:lang w:val="es-ES" w:eastAsia="es-ES"/>
        </w:rPr>
      </w:pPr>
      <w:r w:rsidRPr="00FD1DC0">
        <w:rPr>
          <w:rFonts w:ascii="Times New Roman" w:eastAsia="Times New Roman" w:hAnsi="Times New Roman" w:cs="Times New Roman"/>
          <w:bCs/>
          <w:color w:val="auto"/>
          <w:szCs w:val="24"/>
          <w:lang w:val="es-ES" w:eastAsia="es-ES"/>
        </w:rPr>
        <w:t xml:space="preserve">Sin embargo, hay que recordar que el estadístico para la prueba de efectos </w:t>
      </w:r>
      <w:r w:rsidRPr="00FD1DC0">
        <w:rPr>
          <w:rFonts w:ascii="Times New Roman" w:eastAsia="Times New Roman" w:hAnsi="Times New Roman" w:cs="Times New Roman"/>
          <w:bCs/>
          <w:i/>
          <w:color w:val="auto"/>
          <w:szCs w:val="24"/>
          <w:lang w:val="es-ES" w:eastAsia="es-ES"/>
        </w:rPr>
        <w:t>ARCH</w:t>
      </w:r>
      <w:r w:rsidRPr="00FD1DC0">
        <w:rPr>
          <w:rFonts w:ascii="Times New Roman" w:eastAsia="Times New Roman" w:hAnsi="Times New Roman" w:cs="Times New Roman"/>
          <w:bCs/>
          <w:color w:val="auto"/>
          <w:szCs w:val="24"/>
          <w:lang w:val="es-ES" w:eastAsia="es-ES"/>
        </w:rPr>
        <w:t>, que evalúa si la varianza de los residuos, ε</w:t>
      </w:r>
      <w:r w:rsidRPr="00FD1DC0">
        <w:rPr>
          <w:rFonts w:ascii="Times New Roman" w:eastAsia="Times New Roman" w:hAnsi="Times New Roman" w:cs="Times New Roman"/>
          <w:bCs/>
          <w:color w:val="auto"/>
          <w:szCs w:val="24"/>
          <w:vertAlign w:val="subscript"/>
          <w:lang w:val="es-ES" w:eastAsia="es-ES"/>
        </w:rPr>
        <w:t>t</w:t>
      </w:r>
      <w:r w:rsidRPr="00FD1DC0">
        <w:rPr>
          <w:rFonts w:ascii="Times New Roman" w:eastAsia="Times New Roman" w:hAnsi="Times New Roman" w:cs="Times New Roman"/>
          <w:bCs/>
          <w:color w:val="auto"/>
          <w:szCs w:val="24"/>
          <w:lang w:val="es-ES" w:eastAsia="es-ES"/>
        </w:rPr>
        <w:t xml:space="preserve"> del modelo </w:t>
      </w:r>
      <w:r w:rsidRPr="00FD1DC0">
        <w:rPr>
          <w:rFonts w:ascii="Times New Roman" w:eastAsia="Times New Roman" w:hAnsi="Times New Roman" w:cs="Times New Roman"/>
          <w:bCs/>
          <w:i/>
          <w:color w:val="auto"/>
          <w:szCs w:val="24"/>
          <w:lang w:val="es-ES" w:eastAsia="es-ES"/>
        </w:rPr>
        <w:t>Sarima</w:t>
      </w:r>
      <w:r w:rsidR="00677B62" w:rsidRPr="00FD1DC0">
        <w:rPr>
          <w:rFonts w:ascii="Times New Roman" w:eastAsia="Times New Roman" w:hAnsi="Times New Roman" w:cs="Times New Roman"/>
          <w:bCs/>
          <w:i/>
          <w:color w:val="auto"/>
          <w:szCs w:val="24"/>
          <w:lang w:val="es-ES" w:eastAsia="es-ES"/>
        </w:rPr>
        <w:t>x</w:t>
      </w:r>
      <w:r w:rsidRPr="00FD1DC0">
        <w:rPr>
          <w:rFonts w:ascii="Times New Roman" w:eastAsia="Times New Roman" w:hAnsi="Times New Roman" w:cs="Times New Roman"/>
          <w:bCs/>
          <w:color w:val="auto"/>
          <w:szCs w:val="24"/>
          <w:lang w:val="es-ES" w:eastAsia="es-ES"/>
        </w:rPr>
        <w:t xml:space="preserve"> del cuadro 1 y 2, es constante. La prueba</w:t>
      </w:r>
      <w:r w:rsidR="00947A6E" w:rsidRPr="00FD1DC0">
        <w:rPr>
          <w:rFonts w:ascii="Times New Roman" w:eastAsia="Times New Roman" w:hAnsi="Times New Roman" w:cs="Times New Roman"/>
          <w:bCs/>
          <w:color w:val="auto"/>
          <w:szCs w:val="24"/>
          <w:lang w:val="es-ES" w:eastAsia="es-ES"/>
        </w:rPr>
        <w:t xml:space="preserve"> </w:t>
      </w:r>
      <w:r w:rsidRPr="00FD1DC0">
        <w:rPr>
          <w:rFonts w:ascii="Times New Roman" w:eastAsia="Times New Roman" w:hAnsi="Times New Roman" w:cs="Times New Roman"/>
          <w:bCs/>
          <w:color w:val="auto"/>
          <w:szCs w:val="24"/>
          <w:lang w:val="es-ES" w:eastAsia="es-ES"/>
        </w:rPr>
        <w:t>indica que se rechace la hipótesis nula, en vista de lo cual se puede modelar el proceso de varianza condicional para los residuos por medio de modelos autorregresivos con heterocedasticidad condicional (</w:t>
      </w:r>
      <w:r w:rsidRPr="00FD1DC0">
        <w:rPr>
          <w:rFonts w:ascii="Times New Roman" w:eastAsia="Times New Roman" w:hAnsi="Times New Roman" w:cs="Times New Roman"/>
          <w:bCs/>
          <w:i/>
          <w:color w:val="auto"/>
          <w:szCs w:val="24"/>
          <w:lang w:val="es-ES" w:eastAsia="es-ES"/>
        </w:rPr>
        <w:t>ARCH</w:t>
      </w:r>
      <w:r w:rsidRPr="00FD1DC0">
        <w:rPr>
          <w:rFonts w:ascii="Times New Roman" w:eastAsia="Times New Roman" w:hAnsi="Times New Roman" w:cs="Times New Roman"/>
          <w:bCs/>
          <w:color w:val="auto"/>
          <w:szCs w:val="24"/>
          <w:lang w:val="es-ES" w:eastAsia="es-ES"/>
        </w:rPr>
        <w:t>) y así tendríamos una estimación de la volatilidad cambiaria</w:t>
      </w:r>
      <w:r w:rsidR="00FA4D50" w:rsidRPr="00FD1DC0">
        <w:rPr>
          <w:rFonts w:ascii="Times New Roman" w:eastAsia="Times New Roman" w:hAnsi="Times New Roman" w:cs="Times New Roman"/>
          <w:bCs/>
          <w:color w:val="auto"/>
          <w:szCs w:val="24"/>
          <w:lang w:val="es-ES" w:eastAsia="es-ES"/>
        </w:rPr>
        <w:t xml:space="preserve"> real</w:t>
      </w:r>
      <w:r w:rsidRPr="00FD1DC0">
        <w:rPr>
          <w:rFonts w:ascii="Times New Roman" w:eastAsia="Times New Roman" w:hAnsi="Times New Roman" w:cs="Times New Roman"/>
          <w:bCs/>
          <w:color w:val="auto"/>
          <w:szCs w:val="24"/>
          <w:lang w:val="es-ES" w:eastAsia="es-ES"/>
        </w:rPr>
        <w:t>.</w:t>
      </w:r>
    </w:p>
    <w:p w14:paraId="01256AB2" w14:textId="3C3209F5" w:rsidR="00FF5A55" w:rsidRDefault="00FF5A55" w:rsidP="006D608E">
      <w:pPr>
        <w:spacing w:after="0" w:line="360" w:lineRule="auto"/>
        <w:ind w:left="0" w:right="0" w:firstLine="0"/>
        <w:rPr>
          <w:rFonts w:ascii="Times New Roman" w:eastAsia="Times New Roman" w:hAnsi="Times New Roman" w:cs="Times New Roman"/>
          <w:bCs/>
          <w:color w:val="auto"/>
          <w:szCs w:val="24"/>
          <w:lang w:val="es-ES" w:eastAsia="es-ES"/>
        </w:rPr>
      </w:pPr>
    </w:p>
    <w:p w14:paraId="66B4D17F" w14:textId="17363296" w:rsidR="00FF5A55" w:rsidRDefault="00FF5A55" w:rsidP="006D608E">
      <w:pPr>
        <w:spacing w:after="0" w:line="360" w:lineRule="auto"/>
        <w:ind w:left="0" w:right="0" w:firstLine="0"/>
        <w:rPr>
          <w:rFonts w:ascii="Times New Roman" w:eastAsia="Times New Roman" w:hAnsi="Times New Roman" w:cs="Times New Roman"/>
          <w:bCs/>
          <w:color w:val="auto"/>
          <w:szCs w:val="24"/>
          <w:lang w:val="es-ES" w:eastAsia="es-ES"/>
        </w:rPr>
      </w:pPr>
    </w:p>
    <w:p w14:paraId="153F7126" w14:textId="77777777" w:rsidR="00FF5A55" w:rsidRPr="00FD1DC0" w:rsidRDefault="00FF5A55" w:rsidP="006D608E">
      <w:pPr>
        <w:spacing w:after="0" w:line="360" w:lineRule="auto"/>
        <w:ind w:left="0" w:right="0" w:firstLine="0"/>
        <w:rPr>
          <w:rFonts w:ascii="Times New Roman" w:eastAsia="Times New Roman" w:hAnsi="Times New Roman" w:cs="Times New Roman"/>
          <w:bCs/>
          <w:color w:val="auto"/>
          <w:szCs w:val="24"/>
          <w:lang w:val="es-ES" w:eastAsia="es-ES"/>
        </w:rPr>
      </w:pPr>
    </w:p>
    <w:p w14:paraId="4AF5A2EC" w14:textId="5992A0B3" w:rsidR="00AA6BD0" w:rsidRPr="00FD1DC0" w:rsidRDefault="004926AE" w:rsidP="007B0CEC">
      <w:pPr>
        <w:pStyle w:val="Ttulo4"/>
        <w:numPr>
          <w:ilvl w:val="1"/>
          <w:numId w:val="11"/>
        </w:numPr>
        <w:spacing w:after="225"/>
        <w:ind w:right="369"/>
        <w:jc w:val="left"/>
        <w:rPr>
          <w:rFonts w:ascii="Times New Roman" w:hAnsi="Times New Roman" w:cs="Times New Roman"/>
          <w:sz w:val="24"/>
          <w:lang w:val="es-BO"/>
        </w:rPr>
      </w:pPr>
      <w:r w:rsidRPr="00FD1DC0">
        <w:rPr>
          <w:rFonts w:ascii="Times New Roman" w:hAnsi="Times New Roman" w:cs="Times New Roman"/>
          <w:sz w:val="24"/>
          <w:lang w:val="es-BO"/>
        </w:rPr>
        <w:t>Resultados de estimación de la volatilidad cambiaria</w:t>
      </w:r>
      <w:r w:rsidR="00901098" w:rsidRPr="00FD1DC0">
        <w:rPr>
          <w:rFonts w:ascii="Times New Roman" w:hAnsi="Times New Roman" w:cs="Times New Roman"/>
          <w:sz w:val="24"/>
          <w:lang w:val="es-BO"/>
        </w:rPr>
        <w:t xml:space="preserve"> real</w:t>
      </w:r>
      <w:r w:rsidRPr="00FD1DC0">
        <w:rPr>
          <w:rFonts w:ascii="Times New Roman" w:hAnsi="Times New Roman" w:cs="Times New Roman"/>
          <w:sz w:val="24"/>
          <w:lang w:val="es-BO"/>
        </w:rPr>
        <w:t xml:space="preserve"> </w:t>
      </w:r>
      <w:r w:rsidR="003F55F3" w:rsidRPr="00FD1DC0">
        <w:rPr>
          <w:rFonts w:ascii="Times New Roman" w:hAnsi="Times New Roman" w:cs="Times New Roman"/>
          <w:sz w:val="24"/>
          <w:lang w:val="es-BO"/>
        </w:rPr>
        <w:t>familias GARCH</w:t>
      </w:r>
    </w:p>
    <w:p w14:paraId="6CAE8D5D" w14:textId="77777777" w:rsidR="00746790" w:rsidRPr="00FD1DC0" w:rsidRDefault="00E9600B">
      <w:pPr>
        <w:pStyle w:val="Ttulo5"/>
        <w:ind w:right="5"/>
        <w:rPr>
          <w:rFonts w:ascii="Times New Roman" w:hAnsi="Times New Roman" w:cs="Times New Roman"/>
          <w:lang w:val="es-BO"/>
        </w:rPr>
      </w:pPr>
      <w:r w:rsidRPr="00FD1DC0">
        <w:rPr>
          <w:rFonts w:ascii="Times New Roman" w:hAnsi="Times New Roman" w:cs="Times New Roman"/>
          <w:lang w:val="es-BO"/>
        </w:rPr>
        <w:t xml:space="preserve">Cuadro 3 </w:t>
      </w:r>
    </w:p>
    <w:p w14:paraId="7F720A57" w14:textId="43136E98" w:rsidR="00B10AA2" w:rsidRPr="00FD1DC0" w:rsidRDefault="00E9600B" w:rsidP="00B10AA2">
      <w:pPr>
        <w:spacing w:after="8" w:line="250" w:lineRule="auto"/>
        <w:ind w:left="2243" w:right="158"/>
        <w:jc w:val="left"/>
        <w:rPr>
          <w:rFonts w:ascii="Times New Roman" w:eastAsia="Times New Roman" w:hAnsi="Times New Roman" w:cs="Times New Roman"/>
          <w:b/>
          <w:color w:val="auto"/>
          <w:sz w:val="20"/>
          <w:szCs w:val="20"/>
          <w:lang w:val="es-BO" w:eastAsia="es-ES"/>
        </w:rPr>
      </w:pPr>
      <w:r w:rsidRPr="00FD1DC0">
        <w:rPr>
          <w:rFonts w:ascii="Times New Roman" w:hAnsi="Times New Roman" w:cs="Times New Roman"/>
          <w:b/>
          <w:sz w:val="20"/>
          <w:lang w:val="es-BO"/>
        </w:rPr>
        <w:t xml:space="preserve">Modelos estimados para la ecuación de la varianza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7110"/>
      </w:tblGrid>
      <w:tr w:rsidR="00C2066D" w:rsidRPr="00FD1DC0" w14:paraId="7FD0725C"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5E42A073"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Modelo</w:t>
            </w:r>
          </w:p>
        </w:tc>
        <w:tc>
          <w:tcPr>
            <w:tcW w:w="7110" w:type="dxa"/>
            <w:tcBorders>
              <w:top w:val="single" w:sz="4" w:space="0" w:color="auto"/>
              <w:left w:val="single" w:sz="4" w:space="0" w:color="auto"/>
              <w:bottom w:val="single" w:sz="4" w:space="0" w:color="auto"/>
              <w:right w:val="single" w:sz="4" w:space="0" w:color="auto"/>
            </w:tcBorders>
            <w:hideMark/>
          </w:tcPr>
          <w:p w14:paraId="3D123D8F"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Cs w:val="24"/>
                <w:lang w:val="es-ES" w:eastAsia="es-ES"/>
              </w:rPr>
            </w:pPr>
            <w:r w:rsidRPr="00FD1DC0">
              <w:rPr>
                <w:rFonts w:ascii="Times New Roman" w:eastAsia="Times New Roman" w:hAnsi="Times New Roman" w:cs="Times New Roman"/>
                <w:b/>
                <w:szCs w:val="24"/>
                <w:lang w:val="es-ES" w:eastAsia="es-ES"/>
              </w:rPr>
              <w:t>Ecuación</w:t>
            </w:r>
            <w:r w:rsidRPr="00FD1DC0">
              <w:rPr>
                <w:rFonts w:ascii="Times New Roman" w:eastAsia="Times New Roman" w:hAnsi="Times New Roman" w:cs="Times New Roman"/>
                <w:b/>
                <w:szCs w:val="24"/>
                <w:vertAlign w:val="superscript"/>
                <w:lang w:val="es-ES" w:eastAsia="es-ES"/>
              </w:rPr>
              <w:footnoteReference w:id="6"/>
            </w:r>
          </w:p>
        </w:tc>
      </w:tr>
      <w:tr w:rsidR="00C2066D" w:rsidRPr="00FD1DC0" w14:paraId="196AEF25"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7AC02456"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(1)</w:t>
            </w:r>
          </w:p>
          <w:p w14:paraId="383EED41"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Arch (1)</w:t>
            </w:r>
          </w:p>
          <w:p w14:paraId="6120B3BF"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México</w:t>
            </w:r>
          </w:p>
        </w:tc>
        <w:tc>
          <w:tcPr>
            <w:tcW w:w="7110" w:type="dxa"/>
            <w:tcBorders>
              <w:top w:val="single" w:sz="4" w:space="0" w:color="auto"/>
              <w:left w:val="single" w:sz="4" w:space="0" w:color="auto"/>
              <w:bottom w:val="single" w:sz="4" w:space="0" w:color="auto"/>
              <w:right w:val="single" w:sz="4" w:space="0" w:color="auto"/>
            </w:tcBorders>
            <w:hideMark/>
          </w:tcPr>
          <w:p w14:paraId="3E9C9E1F" w14:textId="15097ECC" w:rsidR="00C2066D" w:rsidRPr="00FD1DC0" w:rsidRDefault="00DD718D"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position w:val="-30"/>
                <w:szCs w:val="24"/>
                <w:lang w:val="es-ES" w:eastAsia="es-ES"/>
              </w:rPr>
              <w:object w:dxaOrig="2780" w:dyaOrig="720" w14:anchorId="3BC33D07">
                <v:shape id="_x0000_i1054" type="#_x0000_t75" style="width:140.5pt;height:36.5pt" o:ole="">
                  <v:imagedata r:id="rId69" o:title=""/>
                </v:shape>
                <o:OLEObject Type="Embed" ProgID="Equation.3" ShapeID="_x0000_i1054" DrawAspect="Content" ObjectID="_1772226526" r:id="rId70"/>
              </w:object>
            </w:r>
          </w:p>
        </w:tc>
      </w:tr>
      <w:tr w:rsidR="00C2066D" w:rsidRPr="00FD1DC0" w14:paraId="1CC42B8A"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366516CA"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(2)</w:t>
            </w:r>
          </w:p>
          <w:p w14:paraId="5F280DA3"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Arch (1)</w:t>
            </w:r>
          </w:p>
          <w:p w14:paraId="1EA00048"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Brasil</w:t>
            </w:r>
          </w:p>
        </w:tc>
        <w:tc>
          <w:tcPr>
            <w:tcW w:w="7110" w:type="dxa"/>
            <w:tcBorders>
              <w:top w:val="single" w:sz="4" w:space="0" w:color="auto"/>
              <w:left w:val="single" w:sz="4" w:space="0" w:color="auto"/>
              <w:bottom w:val="single" w:sz="4" w:space="0" w:color="auto"/>
              <w:right w:val="single" w:sz="4" w:space="0" w:color="auto"/>
            </w:tcBorders>
            <w:hideMark/>
          </w:tcPr>
          <w:p w14:paraId="7B378A5E" w14:textId="1D0014D4" w:rsidR="00C2066D" w:rsidRPr="00FD1DC0" w:rsidRDefault="00CC3CFB"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position w:val="-30"/>
                <w:szCs w:val="24"/>
                <w:lang w:val="es-ES" w:eastAsia="es-ES"/>
              </w:rPr>
              <w:object w:dxaOrig="2520" w:dyaOrig="720" w14:anchorId="4C08FB87">
                <v:shape id="_x0000_i1055" type="#_x0000_t75" style="width:128pt;height:36.5pt" o:ole="">
                  <v:imagedata r:id="rId71" o:title=""/>
                </v:shape>
                <o:OLEObject Type="Embed" ProgID="Equation.3" ShapeID="_x0000_i1055" DrawAspect="Content" ObjectID="_1772226527" r:id="rId72"/>
              </w:object>
            </w:r>
          </w:p>
        </w:tc>
      </w:tr>
      <w:tr w:rsidR="00C2066D" w:rsidRPr="00FD1DC0" w14:paraId="63466731"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2CC71C7C"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(3)</w:t>
            </w:r>
          </w:p>
          <w:p w14:paraId="6D9C823B"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Garch (1,1)</w:t>
            </w:r>
          </w:p>
          <w:p w14:paraId="283D12B0"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México</w:t>
            </w:r>
          </w:p>
        </w:tc>
        <w:tc>
          <w:tcPr>
            <w:tcW w:w="7110" w:type="dxa"/>
            <w:tcBorders>
              <w:top w:val="single" w:sz="4" w:space="0" w:color="auto"/>
              <w:left w:val="single" w:sz="4" w:space="0" w:color="auto"/>
              <w:bottom w:val="single" w:sz="4" w:space="0" w:color="auto"/>
              <w:right w:val="single" w:sz="4" w:space="0" w:color="auto"/>
            </w:tcBorders>
            <w:hideMark/>
          </w:tcPr>
          <w:p w14:paraId="4A02AA27" w14:textId="03C08BD0" w:rsidR="00C2066D" w:rsidRPr="00FD1DC0" w:rsidRDefault="005E4D76"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position w:val="-32"/>
                <w:szCs w:val="24"/>
                <w:lang w:val="es-ES" w:eastAsia="es-ES"/>
              </w:rPr>
              <w:object w:dxaOrig="3620" w:dyaOrig="760" w14:anchorId="0FA6368C">
                <v:shape id="_x0000_i1056" type="#_x0000_t75" style="width:181.5pt;height:35.5pt" o:ole="">
                  <v:imagedata r:id="rId73" o:title=""/>
                </v:shape>
                <o:OLEObject Type="Embed" ProgID="Equation.3" ShapeID="_x0000_i1056" DrawAspect="Content" ObjectID="_1772226528" r:id="rId74"/>
              </w:object>
            </w:r>
          </w:p>
        </w:tc>
      </w:tr>
      <w:tr w:rsidR="00C2066D" w:rsidRPr="00FD1DC0" w14:paraId="01D421DC"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1EF1B884"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(4)</w:t>
            </w:r>
          </w:p>
          <w:p w14:paraId="3A406124"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Garch (1,1)</w:t>
            </w:r>
          </w:p>
          <w:p w14:paraId="52DB7CF7"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Brasil</w:t>
            </w:r>
          </w:p>
        </w:tc>
        <w:tc>
          <w:tcPr>
            <w:tcW w:w="7110" w:type="dxa"/>
            <w:tcBorders>
              <w:top w:val="single" w:sz="4" w:space="0" w:color="auto"/>
              <w:left w:val="single" w:sz="4" w:space="0" w:color="auto"/>
              <w:bottom w:val="single" w:sz="4" w:space="0" w:color="auto"/>
              <w:right w:val="single" w:sz="4" w:space="0" w:color="auto"/>
            </w:tcBorders>
            <w:hideMark/>
          </w:tcPr>
          <w:p w14:paraId="4955F63B" w14:textId="7694B0F6" w:rsidR="00C2066D" w:rsidRPr="00FD1DC0" w:rsidRDefault="005E4D76" w:rsidP="00C2066D">
            <w:pPr>
              <w:autoSpaceDE w:val="0"/>
              <w:autoSpaceDN w:val="0"/>
              <w:adjustRightInd w:val="0"/>
              <w:spacing w:after="0" w:line="48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position w:val="-32"/>
                <w:szCs w:val="24"/>
                <w:lang w:val="es-ES" w:eastAsia="es-ES"/>
              </w:rPr>
              <w:object w:dxaOrig="3620" w:dyaOrig="760" w14:anchorId="76875DCA">
                <v:shape id="_x0000_i1057" type="#_x0000_t75" style="width:185.5pt;height:35.5pt" o:ole="">
                  <v:imagedata r:id="rId75" o:title=""/>
                </v:shape>
                <o:OLEObject Type="Embed" ProgID="Equation.3" ShapeID="_x0000_i1057" DrawAspect="Content" ObjectID="_1772226529" r:id="rId76"/>
              </w:object>
            </w:r>
          </w:p>
        </w:tc>
      </w:tr>
      <w:tr w:rsidR="00C2066D" w:rsidRPr="00FD1DC0" w14:paraId="52FE2DE9"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4223A207"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(5)</w:t>
            </w:r>
          </w:p>
          <w:p w14:paraId="6C0BCDB8"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Tgarch (1,1)</w:t>
            </w:r>
          </w:p>
          <w:p w14:paraId="1BE00142"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México</w:t>
            </w:r>
          </w:p>
        </w:tc>
        <w:tc>
          <w:tcPr>
            <w:tcW w:w="7110" w:type="dxa"/>
            <w:tcBorders>
              <w:top w:val="single" w:sz="4" w:space="0" w:color="auto"/>
              <w:left w:val="single" w:sz="4" w:space="0" w:color="auto"/>
              <w:bottom w:val="single" w:sz="4" w:space="0" w:color="auto"/>
              <w:right w:val="single" w:sz="4" w:space="0" w:color="auto"/>
            </w:tcBorders>
            <w:hideMark/>
          </w:tcPr>
          <w:p w14:paraId="7B9D0CBA" w14:textId="406ACA40" w:rsidR="00C2066D" w:rsidRPr="00FD1DC0" w:rsidRDefault="00DD00F5"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position w:val="-32"/>
                <w:szCs w:val="24"/>
                <w:lang w:val="es-ES" w:eastAsia="es-ES"/>
              </w:rPr>
              <w:object w:dxaOrig="5140" w:dyaOrig="760" w14:anchorId="422612C8">
                <v:shape id="_x0000_i1058" type="#_x0000_t75" style="width:257.5pt;height:35.5pt" o:ole="">
                  <v:imagedata r:id="rId77" o:title=""/>
                </v:shape>
                <o:OLEObject Type="Embed" ProgID="Equation.3" ShapeID="_x0000_i1058" DrawAspect="Content" ObjectID="_1772226530" r:id="rId78"/>
              </w:object>
            </w:r>
          </w:p>
        </w:tc>
      </w:tr>
      <w:tr w:rsidR="00C2066D" w:rsidRPr="00FD1DC0" w14:paraId="651DBC01"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7C3424AC"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(6)</w:t>
            </w:r>
          </w:p>
          <w:p w14:paraId="776FE34D"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Tgarch (1,1)</w:t>
            </w:r>
          </w:p>
          <w:p w14:paraId="1A6FF4E4"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Brasil</w:t>
            </w:r>
          </w:p>
        </w:tc>
        <w:tc>
          <w:tcPr>
            <w:tcW w:w="7110" w:type="dxa"/>
            <w:tcBorders>
              <w:top w:val="single" w:sz="4" w:space="0" w:color="auto"/>
              <w:left w:val="single" w:sz="4" w:space="0" w:color="auto"/>
              <w:bottom w:val="single" w:sz="4" w:space="0" w:color="auto"/>
              <w:right w:val="single" w:sz="4" w:space="0" w:color="auto"/>
            </w:tcBorders>
            <w:hideMark/>
          </w:tcPr>
          <w:p w14:paraId="5412824E" w14:textId="3C87E5BD" w:rsidR="00C2066D" w:rsidRPr="00FD1DC0" w:rsidRDefault="00964348"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position w:val="-32"/>
                <w:szCs w:val="24"/>
                <w:lang w:val="es-ES" w:eastAsia="es-ES"/>
              </w:rPr>
              <w:object w:dxaOrig="4900" w:dyaOrig="760" w14:anchorId="49AB5AFF">
                <v:shape id="_x0000_i1059" type="#_x0000_t75" style="width:244.5pt;height:35.5pt" o:ole="">
                  <v:imagedata r:id="rId79" o:title=""/>
                </v:shape>
                <o:OLEObject Type="Embed" ProgID="Equation.3" ShapeID="_x0000_i1059" DrawAspect="Content" ObjectID="_1772226531" r:id="rId80"/>
              </w:object>
            </w:r>
          </w:p>
        </w:tc>
      </w:tr>
      <w:tr w:rsidR="00C2066D" w:rsidRPr="00FD1DC0" w14:paraId="460A01CF" w14:textId="77777777" w:rsidTr="00372E86">
        <w:trPr>
          <w:trHeight w:val="1927"/>
          <w:jc w:val="center"/>
        </w:trPr>
        <w:tc>
          <w:tcPr>
            <w:tcW w:w="1543" w:type="dxa"/>
            <w:tcBorders>
              <w:top w:val="single" w:sz="4" w:space="0" w:color="auto"/>
              <w:left w:val="single" w:sz="4" w:space="0" w:color="auto"/>
              <w:bottom w:val="single" w:sz="4" w:space="0" w:color="auto"/>
              <w:right w:val="single" w:sz="4" w:space="0" w:color="auto"/>
            </w:tcBorders>
            <w:hideMark/>
          </w:tcPr>
          <w:p w14:paraId="40C2721E" w14:textId="1C6DC10B"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(7)</w:t>
            </w:r>
          </w:p>
          <w:p w14:paraId="7EA0B71F"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EGarch</w:t>
            </w:r>
          </w:p>
          <w:p w14:paraId="769E1260"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México</w:t>
            </w:r>
          </w:p>
        </w:tc>
        <w:tc>
          <w:tcPr>
            <w:tcW w:w="7110" w:type="dxa"/>
            <w:tcBorders>
              <w:top w:val="single" w:sz="4" w:space="0" w:color="auto"/>
              <w:left w:val="single" w:sz="4" w:space="0" w:color="auto"/>
              <w:bottom w:val="single" w:sz="4" w:space="0" w:color="auto"/>
              <w:right w:val="single" w:sz="4" w:space="0" w:color="auto"/>
            </w:tcBorders>
            <w:hideMark/>
          </w:tcPr>
          <w:p w14:paraId="2933DF4B" w14:textId="4DD33352" w:rsidR="00C2066D" w:rsidRPr="00FD1DC0" w:rsidRDefault="00DD00F5" w:rsidP="00C2066D">
            <w:pPr>
              <w:autoSpaceDE w:val="0"/>
              <w:autoSpaceDN w:val="0"/>
              <w:adjustRightInd w:val="0"/>
              <w:spacing w:after="0" w:line="48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position w:val="-56"/>
                <w:szCs w:val="24"/>
                <w:lang w:val="es-ES" w:eastAsia="es-ES"/>
              </w:rPr>
              <w:object w:dxaOrig="5700" w:dyaOrig="1240" w14:anchorId="4DCEC865">
                <v:shape id="_x0000_i1060" type="#_x0000_t75" style="width:287.5pt;height:65pt" o:ole="">
                  <v:imagedata r:id="rId81" o:title=""/>
                </v:shape>
                <o:OLEObject Type="Embed" ProgID="Equation.3" ShapeID="_x0000_i1060" DrawAspect="Content" ObjectID="_1772226532" r:id="rId82"/>
              </w:object>
            </w:r>
          </w:p>
        </w:tc>
      </w:tr>
      <w:tr w:rsidR="00C2066D" w:rsidRPr="00FD1DC0" w14:paraId="4F6595C2"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08F43992"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(8)</w:t>
            </w:r>
          </w:p>
          <w:p w14:paraId="1C514193"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EGarch</w:t>
            </w:r>
          </w:p>
          <w:p w14:paraId="744D6C55"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Brasil</w:t>
            </w:r>
          </w:p>
        </w:tc>
        <w:tc>
          <w:tcPr>
            <w:tcW w:w="7110" w:type="dxa"/>
            <w:tcBorders>
              <w:top w:val="single" w:sz="4" w:space="0" w:color="auto"/>
              <w:left w:val="single" w:sz="4" w:space="0" w:color="auto"/>
              <w:bottom w:val="single" w:sz="4" w:space="0" w:color="auto"/>
              <w:right w:val="single" w:sz="4" w:space="0" w:color="auto"/>
            </w:tcBorders>
            <w:hideMark/>
          </w:tcPr>
          <w:p w14:paraId="5941E11A" w14:textId="5A9FF500" w:rsidR="00C2066D" w:rsidRPr="00FD1DC0" w:rsidRDefault="00605192" w:rsidP="00C2066D">
            <w:pPr>
              <w:autoSpaceDE w:val="0"/>
              <w:autoSpaceDN w:val="0"/>
              <w:adjustRightInd w:val="0"/>
              <w:spacing w:after="0" w:line="480" w:lineRule="auto"/>
              <w:ind w:left="0" w:right="0" w:firstLine="0"/>
              <w:jc w:val="center"/>
              <w:rPr>
                <w:rFonts w:ascii="Times New Roman" w:eastAsia="Times New Roman" w:hAnsi="Times New Roman" w:cs="Times New Roman"/>
                <w:szCs w:val="24"/>
                <w:lang w:val="es-ES" w:eastAsia="es-ES"/>
              </w:rPr>
            </w:pPr>
            <w:r w:rsidRPr="00FD1DC0">
              <w:rPr>
                <w:rFonts w:ascii="Times New Roman" w:eastAsia="Times New Roman" w:hAnsi="Times New Roman" w:cs="Times New Roman"/>
                <w:color w:val="auto"/>
                <w:position w:val="-56"/>
                <w:szCs w:val="24"/>
                <w:lang w:val="es-ES" w:eastAsia="es-ES"/>
              </w:rPr>
              <w:object w:dxaOrig="5660" w:dyaOrig="1240" w14:anchorId="10EAA9C7">
                <v:shape id="_x0000_i1061" type="#_x0000_t75" style="width:282pt;height:65pt" o:ole="">
                  <v:imagedata r:id="rId83" o:title=""/>
                </v:shape>
                <o:OLEObject Type="Embed" ProgID="Equation.3" ShapeID="_x0000_i1061" DrawAspect="Content" ObjectID="_1772226533" r:id="rId84"/>
              </w:object>
            </w:r>
          </w:p>
        </w:tc>
      </w:tr>
      <w:tr w:rsidR="00C2066D" w:rsidRPr="00FD1DC0" w14:paraId="10047CC8"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072F2239"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(9)</w:t>
            </w:r>
          </w:p>
          <w:p w14:paraId="3640AA04"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Parch</w:t>
            </w:r>
          </w:p>
          <w:p w14:paraId="69C735F7"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México</w:t>
            </w:r>
          </w:p>
        </w:tc>
        <w:tc>
          <w:tcPr>
            <w:tcW w:w="7110" w:type="dxa"/>
            <w:tcBorders>
              <w:top w:val="single" w:sz="4" w:space="0" w:color="auto"/>
              <w:left w:val="single" w:sz="4" w:space="0" w:color="auto"/>
              <w:bottom w:val="single" w:sz="4" w:space="0" w:color="auto"/>
              <w:right w:val="single" w:sz="4" w:space="0" w:color="auto"/>
            </w:tcBorders>
            <w:hideMark/>
          </w:tcPr>
          <w:p w14:paraId="1A6E2EC2" w14:textId="0AC443B0" w:rsidR="00C2066D" w:rsidRPr="00FD1DC0" w:rsidRDefault="00FD62D1"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Calibri" w:eastAsia="Calibri" w:hAnsi="Calibri" w:cs="Times New Roman"/>
                <w:color w:val="auto"/>
                <w:position w:val="-38"/>
                <w:sz w:val="22"/>
                <w:lang w:val="es-MX"/>
              </w:rPr>
              <w:object w:dxaOrig="5760" w:dyaOrig="880" w14:anchorId="157FFE07">
                <v:shape id="_x0000_i1062" type="#_x0000_t75" style="width:284pt;height:43pt" o:ole="">
                  <v:imagedata r:id="rId85" o:title=""/>
                </v:shape>
                <o:OLEObject Type="Embed" ProgID="Equation.3" ShapeID="_x0000_i1062" DrawAspect="Content" ObjectID="_1772226534" r:id="rId86"/>
              </w:object>
            </w:r>
          </w:p>
        </w:tc>
      </w:tr>
      <w:tr w:rsidR="00C2066D" w:rsidRPr="00FD1DC0" w14:paraId="4CC6C5DE" w14:textId="77777777" w:rsidTr="00372E86">
        <w:trPr>
          <w:jc w:val="center"/>
        </w:trPr>
        <w:tc>
          <w:tcPr>
            <w:tcW w:w="1543" w:type="dxa"/>
            <w:tcBorders>
              <w:top w:val="single" w:sz="4" w:space="0" w:color="auto"/>
              <w:left w:val="single" w:sz="4" w:space="0" w:color="auto"/>
              <w:bottom w:val="single" w:sz="4" w:space="0" w:color="auto"/>
              <w:right w:val="single" w:sz="4" w:space="0" w:color="auto"/>
            </w:tcBorders>
            <w:hideMark/>
          </w:tcPr>
          <w:p w14:paraId="1733AFE5"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b/>
                <w:sz w:val="20"/>
                <w:szCs w:val="20"/>
                <w:lang w:val="es-ES" w:eastAsia="es-ES"/>
              </w:rPr>
            </w:pPr>
            <w:r w:rsidRPr="00FD1DC0">
              <w:rPr>
                <w:rFonts w:ascii="Times New Roman" w:eastAsia="Times New Roman" w:hAnsi="Times New Roman" w:cs="Times New Roman"/>
                <w:b/>
                <w:sz w:val="20"/>
                <w:szCs w:val="20"/>
                <w:lang w:val="es-ES" w:eastAsia="es-ES"/>
              </w:rPr>
              <w:t>Modelo (10)</w:t>
            </w:r>
          </w:p>
          <w:p w14:paraId="34EF9040"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Parch</w:t>
            </w:r>
          </w:p>
          <w:p w14:paraId="657DB998" w14:textId="77777777" w:rsidR="00C2066D" w:rsidRPr="00FD1DC0" w:rsidRDefault="00C2066D" w:rsidP="00C2066D">
            <w:pPr>
              <w:autoSpaceDE w:val="0"/>
              <w:autoSpaceDN w:val="0"/>
              <w:adjustRightInd w:val="0"/>
              <w:spacing w:after="0" w:line="480" w:lineRule="auto"/>
              <w:ind w:left="0" w:right="0" w:firstLine="0"/>
              <w:jc w:val="center"/>
              <w:rPr>
                <w:rFonts w:ascii="Times New Roman" w:eastAsia="Times New Roman" w:hAnsi="Times New Roman" w:cs="Times New Roman"/>
                <w:sz w:val="20"/>
                <w:szCs w:val="20"/>
                <w:lang w:val="es-ES" w:eastAsia="es-ES"/>
              </w:rPr>
            </w:pPr>
            <w:r w:rsidRPr="00FD1DC0">
              <w:rPr>
                <w:rFonts w:ascii="Times New Roman" w:eastAsia="Times New Roman" w:hAnsi="Times New Roman" w:cs="Times New Roman"/>
                <w:sz w:val="20"/>
                <w:szCs w:val="20"/>
                <w:lang w:val="es-ES" w:eastAsia="es-ES"/>
              </w:rPr>
              <w:t>Brasil</w:t>
            </w:r>
          </w:p>
        </w:tc>
        <w:tc>
          <w:tcPr>
            <w:tcW w:w="7110" w:type="dxa"/>
            <w:tcBorders>
              <w:top w:val="single" w:sz="4" w:space="0" w:color="auto"/>
              <w:left w:val="single" w:sz="4" w:space="0" w:color="auto"/>
              <w:bottom w:val="single" w:sz="4" w:space="0" w:color="auto"/>
              <w:right w:val="single" w:sz="4" w:space="0" w:color="auto"/>
            </w:tcBorders>
            <w:hideMark/>
          </w:tcPr>
          <w:p w14:paraId="2345EDF6" w14:textId="6EC36E44" w:rsidR="00C2066D" w:rsidRPr="00FD1DC0" w:rsidRDefault="00FD62D1" w:rsidP="00C2066D">
            <w:pPr>
              <w:autoSpaceDE w:val="0"/>
              <w:autoSpaceDN w:val="0"/>
              <w:adjustRightInd w:val="0"/>
              <w:spacing w:after="0" w:line="480" w:lineRule="auto"/>
              <w:ind w:left="0" w:right="0" w:firstLine="0"/>
              <w:jc w:val="center"/>
              <w:rPr>
                <w:rFonts w:ascii="Times New Roman" w:eastAsia="Times New Roman" w:hAnsi="Times New Roman" w:cs="Times New Roman"/>
                <w:color w:val="auto"/>
                <w:szCs w:val="24"/>
                <w:lang w:val="es-ES" w:eastAsia="es-ES"/>
              </w:rPr>
            </w:pPr>
            <w:r w:rsidRPr="00FD1DC0">
              <w:rPr>
                <w:rFonts w:ascii="Calibri" w:eastAsia="Calibri" w:hAnsi="Calibri" w:cs="Times New Roman"/>
                <w:color w:val="auto"/>
                <w:position w:val="-38"/>
                <w:sz w:val="22"/>
                <w:lang w:val="es-MX"/>
              </w:rPr>
              <w:object w:dxaOrig="6220" w:dyaOrig="880" w14:anchorId="6A411800">
                <v:shape id="_x0000_i1063" type="#_x0000_t75" style="width:309pt;height:43pt" o:ole="">
                  <v:imagedata r:id="rId87" o:title=""/>
                </v:shape>
                <o:OLEObject Type="Embed" ProgID="Equation.3" ShapeID="_x0000_i1063" DrawAspect="Content" ObjectID="_1772226535" r:id="rId88"/>
              </w:object>
            </w:r>
          </w:p>
        </w:tc>
      </w:tr>
    </w:tbl>
    <w:p w14:paraId="04141E84" w14:textId="77777777" w:rsidR="00962174" w:rsidRPr="00FD1DC0" w:rsidRDefault="00962174" w:rsidP="00D057FD">
      <w:pPr>
        <w:spacing w:after="8" w:line="250" w:lineRule="auto"/>
        <w:ind w:left="0" w:right="158" w:firstLine="0"/>
        <w:jc w:val="left"/>
        <w:rPr>
          <w:b/>
          <w:sz w:val="20"/>
          <w:lang w:val="es-BO"/>
        </w:rPr>
      </w:pPr>
    </w:p>
    <w:p w14:paraId="192A5CCF" w14:textId="56A471CD" w:rsidR="00746790" w:rsidRPr="00FD1DC0" w:rsidRDefault="00E415A5" w:rsidP="00F80E35">
      <w:pPr>
        <w:autoSpaceDE w:val="0"/>
        <w:autoSpaceDN w:val="0"/>
        <w:adjustRightInd w:val="0"/>
        <w:spacing w:after="0" w:line="360" w:lineRule="auto"/>
        <w:ind w:left="0" w:right="0" w:firstLine="0"/>
        <w:jc w:val="center"/>
        <w:rPr>
          <w:rFonts w:ascii="Times New Roman" w:eastAsia="Times New Roman" w:hAnsi="Times New Roman" w:cs="Times New Roman"/>
          <w:b/>
          <w:bCs/>
          <w:color w:val="auto"/>
          <w:sz w:val="16"/>
          <w:szCs w:val="16"/>
          <w:lang w:val="es-ES" w:eastAsia="es-ES"/>
        </w:rPr>
      </w:pPr>
      <w:r w:rsidRPr="00FD1DC0">
        <w:rPr>
          <w:rFonts w:ascii="Times New Roman" w:eastAsia="Times New Roman" w:hAnsi="Times New Roman" w:cs="Times New Roman"/>
          <w:b/>
          <w:bCs/>
          <w:color w:val="auto"/>
          <w:sz w:val="16"/>
          <w:szCs w:val="16"/>
          <w:lang w:val="es-ES" w:eastAsia="es-ES"/>
        </w:rPr>
        <w:t xml:space="preserve">Fuente: </w:t>
      </w:r>
      <w:r w:rsidR="00B10AA2" w:rsidRPr="00FD1DC0">
        <w:rPr>
          <w:rFonts w:ascii="Times New Roman" w:eastAsia="Times New Roman" w:hAnsi="Times New Roman" w:cs="Times New Roman"/>
          <w:b/>
          <w:bCs/>
          <w:color w:val="auto"/>
          <w:sz w:val="16"/>
          <w:szCs w:val="16"/>
          <w:lang w:val="es-ES" w:eastAsia="es-ES"/>
        </w:rPr>
        <w:t>Elaboració</w:t>
      </w:r>
      <w:r w:rsidR="00306CA5" w:rsidRPr="00FD1DC0">
        <w:rPr>
          <w:rFonts w:ascii="Times New Roman" w:eastAsia="Times New Roman" w:hAnsi="Times New Roman" w:cs="Times New Roman"/>
          <w:b/>
          <w:bCs/>
          <w:color w:val="auto"/>
          <w:sz w:val="16"/>
          <w:szCs w:val="16"/>
          <w:lang w:val="es-ES" w:eastAsia="es-ES"/>
        </w:rPr>
        <w:t>n propia del</w:t>
      </w:r>
      <w:r w:rsidR="00F80E35" w:rsidRPr="00FD1DC0">
        <w:rPr>
          <w:rFonts w:ascii="Times New Roman" w:eastAsia="Times New Roman" w:hAnsi="Times New Roman" w:cs="Times New Roman"/>
          <w:b/>
          <w:bCs/>
          <w:color w:val="auto"/>
          <w:sz w:val="16"/>
          <w:szCs w:val="16"/>
          <w:lang w:val="es-ES" w:eastAsia="es-ES"/>
        </w:rPr>
        <w:t xml:space="preserve"> autor, ( ) estadístico Z</w:t>
      </w:r>
    </w:p>
    <w:p w14:paraId="0FEDE75D" w14:textId="4A02BD2F" w:rsidR="00962174" w:rsidRPr="00FD1DC0" w:rsidRDefault="00962174" w:rsidP="00962174">
      <w:pPr>
        <w:autoSpaceDE w:val="0"/>
        <w:autoSpaceDN w:val="0"/>
        <w:adjustRightInd w:val="0"/>
        <w:spacing w:after="0" w:line="360" w:lineRule="auto"/>
        <w:ind w:left="0" w:right="0" w:firstLine="0"/>
        <w:rPr>
          <w:rFonts w:ascii="Times New Roman" w:hAnsi="Times New Roman" w:cs="Times New Roman"/>
          <w:lang w:val="es-BO"/>
        </w:rPr>
      </w:pPr>
      <w:r w:rsidRPr="00FD1DC0">
        <w:rPr>
          <w:rFonts w:ascii="Times New Roman" w:hAnsi="Times New Roman" w:cs="Times New Roman"/>
          <w:lang w:val="es-BO"/>
        </w:rPr>
        <w:t xml:space="preserve">Los modelos han sido estimados para el período muestral que abarca </w:t>
      </w:r>
      <w:r w:rsidR="001179A9" w:rsidRPr="00FD1DC0">
        <w:rPr>
          <w:rFonts w:ascii="Times New Roman" w:hAnsi="Times New Roman" w:cs="Times New Roman"/>
          <w:lang w:val="es-BO"/>
        </w:rPr>
        <w:t xml:space="preserve">para los períodos entre </w:t>
      </w:r>
      <w:r w:rsidRPr="00FD1DC0">
        <w:rPr>
          <w:rFonts w:ascii="Times New Roman" w:hAnsi="Times New Roman" w:cs="Times New Roman"/>
          <w:lang w:val="es-BO"/>
        </w:rPr>
        <w:t>1994</w:t>
      </w:r>
      <w:r w:rsidR="001179A9" w:rsidRPr="00FD1DC0">
        <w:rPr>
          <w:rFonts w:ascii="Times New Roman" w:hAnsi="Times New Roman" w:cs="Times New Roman"/>
          <w:lang w:val="es-BO"/>
        </w:rPr>
        <w:t>-2020</w:t>
      </w:r>
      <w:r w:rsidRPr="00FD1DC0">
        <w:rPr>
          <w:rFonts w:ascii="Times New Roman" w:hAnsi="Times New Roman" w:cs="Times New Roman"/>
          <w:lang w:val="es-BO"/>
        </w:rPr>
        <w:t xml:space="preserve"> </w:t>
      </w:r>
      <w:r w:rsidR="001179A9" w:rsidRPr="00FD1DC0">
        <w:rPr>
          <w:rFonts w:ascii="Times New Roman" w:hAnsi="Times New Roman" w:cs="Times New Roman"/>
          <w:lang w:val="es-BO"/>
        </w:rPr>
        <w:t xml:space="preserve">y </w:t>
      </w:r>
      <w:r w:rsidRPr="00FD1DC0">
        <w:rPr>
          <w:rFonts w:ascii="Times New Roman" w:hAnsi="Times New Roman" w:cs="Times New Roman"/>
          <w:lang w:val="es-BO"/>
        </w:rPr>
        <w:t>1996</w:t>
      </w:r>
      <w:r w:rsidR="001179A9" w:rsidRPr="00FD1DC0">
        <w:rPr>
          <w:rFonts w:ascii="Times New Roman" w:hAnsi="Times New Roman" w:cs="Times New Roman"/>
          <w:lang w:val="es-BO"/>
        </w:rPr>
        <w:t>-</w:t>
      </w:r>
      <w:r w:rsidRPr="00FD1DC0">
        <w:rPr>
          <w:rFonts w:ascii="Times New Roman" w:hAnsi="Times New Roman" w:cs="Times New Roman"/>
          <w:lang w:val="es-BO"/>
        </w:rPr>
        <w:t>2020 para</w:t>
      </w:r>
      <w:r w:rsidR="001179A9" w:rsidRPr="00FD1DC0">
        <w:rPr>
          <w:rFonts w:ascii="Times New Roman" w:hAnsi="Times New Roman" w:cs="Times New Roman"/>
          <w:lang w:val="es-BO"/>
        </w:rPr>
        <w:t xml:space="preserve"> México y</w:t>
      </w:r>
      <w:r w:rsidRPr="00FD1DC0">
        <w:rPr>
          <w:rFonts w:ascii="Times New Roman" w:hAnsi="Times New Roman" w:cs="Times New Roman"/>
          <w:lang w:val="es-BO"/>
        </w:rPr>
        <w:t xml:space="preserve"> Brasil</w:t>
      </w:r>
      <w:r w:rsidR="001179A9" w:rsidRPr="00FD1DC0">
        <w:rPr>
          <w:rFonts w:ascii="Times New Roman" w:hAnsi="Times New Roman" w:cs="Times New Roman"/>
          <w:lang w:val="es-BO"/>
        </w:rPr>
        <w:t>, respectivamente</w:t>
      </w:r>
      <w:r w:rsidRPr="00FD1DC0">
        <w:rPr>
          <w:rFonts w:ascii="Times New Roman" w:hAnsi="Times New Roman" w:cs="Times New Roman"/>
          <w:lang w:val="es-BO"/>
        </w:rPr>
        <w:t xml:space="preserve">. </w:t>
      </w:r>
    </w:p>
    <w:p w14:paraId="504ADE3D" w14:textId="1878E491" w:rsidR="00962174" w:rsidRPr="00FD1DC0" w:rsidRDefault="00962174" w:rsidP="00962174">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MX" w:eastAsia="es-ES"/>
        </w:rPr>
      </w:pPr>
      <w:r w:rsidRPr="00FD1DC0">
        <w:rPr>
          <w:rFonts w:ascii="Times New Roman" w:hAnsi="Times New Roman" w:cs="Times New Roman"/>
          <w:lang w:val="es-BO"/>
        </w:rPr>
        <w:t xml:space="preserve">La estimación se ha realizado utilizando el método de la máxima verosimilitud, suponiendo que una distribución de errores generalizados, de acuerdo con la propuesta de Nelson (1991) teniendo en cuenta que no puede admitirse que los datos considerados estén normalmente distribuidos. </w:t>
      </w:r>
      <w:r w:rsidRPr="00FD1DC0">
        <w:rPr>
          <w:rFonts w:ascii="Times New Roman" w:eastAsia="Times New Roman" w:hAnsi="Times New Roman" w:cs="Times New Roman"/>
          <w:szCs w:val="24"/>
          <w:lang w:val="es-MX" w:eastAsia="es-MX"/>
        </w:rPr>
        <w:t xml:space="preserve">La estimación de los modelos (1) para México y </w:t>
      </w:r>
      <w:r w:rsidR="001179A9" w:rsidRPr="00FD1DC0">
        <w:rPr>
          <w:rFonts w:ascii="Times New Roman" w:eastAsia="Times New Roman" w:hAnsi="Times New Roman" w:cs="Times New Roman"/>
          <w:szCs w:val="24"/>
          <w:lang w:val="es-MX" w:eastAsia="es-MX"/>
        </w:rPr>
        <w:t xml:space="preserve">modelo </w:t>
      </w:r>
      <w:r w:rsidRPr="00FD1DC0">
        <w:rPr>
          <w:rFonts w:ascii="Times New Roman" w:eastAsia="Times New Roman" w:hAnsi="Times New Roman" w:cs="Times New Roman"/>
          <w:szCs w:val="24"/>
          <w:lang w:val="es-MX" w:eastAsia="es-MX"/>
        </w:rPr>
        <w:t>(2) para Brasil</w:t>
      </w:r>
      <w:r w:rsidR="001179A9" w:rsidRPr="00FD1DC0">
        <w:rPr>
          <w:rFonts w:ascii="Times New Roman" w:eastAsia="Times New Roman" w:hAnsi="Times New Roman" w:cs="Times New Roman"/>
          <w:szCs w:val="24"/>
          <w:lang w:val="es-MX" w:eastAsia="es-MX"/>
        </w:rPr>
        <w:t xml:space="preserve"> (veáse</w:t>
      </w:r>
      <w:r w:rsidRPr="00FD1DC0">
        <w:rPr>
          <w:rFonts w:ascii="Times New Roman" w:eastAsia="Times New Roman" w:hAnsi="Times New Roman" w:cs="Times New Roman"/>
          <w:szCs w:val="24"/>
          <w:lang w:val="es-MX" w:eastAsia="es-MX"/>
        </w:rPr>
        <w:t xml:space="preserve"> cuadro 3) </w:t>
      </w:r>
      <w:r w:rsidR="001179A9" w:rsidRPr="00FD1DC0">
        <w:rPr>
          <w:rFonts w:ascii="Times New Roman" w:eastAsia="Times New Roman" w:hAnsi="Times New Roman" w:cs="Times New Roman"/>
          <w:szCs w:val="24"/>
          <w:lang w:val="es-MX" w:eastAsia="es-MX"/>
        </w:rPr>
        <w:t xml:space="preserve">se realizaron </w:t>
      </w:r>
      <w:r w:rsidRPr="00FD1DC0">
        <w:rPr>
          <w:rFonts w:ascii="Times New Roman" w:eastAsia="Times New Roman" w:hAnsi="Times New Roman" w:cs="Times New Roman"/>
          <w:szCs w:val="24"/>
          <w:lang w:val="es-MX" w:eastAsia="es-MX"/>
        </w:rPr>
        <w:t xml:space="preserve">por medio del </w:t>
      </w:r>
      <w:r w:rsidRPr="00FD1DC0">
        <w:rPr>
          <w:rFonts w:ascii="Times New Roman" w:eastAsia="Times New Roman" w:hAnsi="Times New Roman" w:cs="Times New Roman"/>
          <w:i/>
          <w:szCs w:val="24"/>
          <w:lang w:val="es-MX" w:eastAsia="es-MX"/>
        </w:rPr>
        <w:t>método del quasimáximo de verosimilitud</w:t>
      </w:r>
      <w:r w:rsidRPr="00FD1DC0">
        <w:rPr>
          <w:rFonts w:ascii="Times New Roman" w:eastAsia="Times New Roman" w:hAnsi="Times New Roman" w:cs="Times New Roman"/>
          <w:szCs w:val="24"/>
          <w:lang w:val="es-MX" w:eastAsia="es-MX"/>
        </w:rPr>
        <w:t xml:space="preserve">. Se puede ver que los parámetros estimados </w:t>
      </w:r>
      <w:r w:rsidR="00E34B95">
        <w:rPr>
          <w:rFonts w:ascii="Times New Roman" w:eastAsia="Times New Roman" w:hAnsi="Times New Roman" w:cs="Times New Roman"/>
          <w:position w:val="-14"/>
          <w:szCs w:val="24"/>
          <w:lang w:val="es-MX" w:eastAsia="es-MX"/>
        </w:rPr>
        <w:pict w14:anchorId="0DE5E1E8">
          <v:shape id="_x0000_i1064" type="#_x0000_t75" style="width:29pt;height:29pt">
            <v:imagedata r:id="rId89" o:title=""/>
          </v:shape>
        </w:pict>
      </w:r>
      <w:r w:rsidRPr="00FD1DC0">
        <w:rPr>
          <w:rFonts w:ascii="Times New Roman" w:eastAsia="Times New Roman" w:hAnsi="Times New Roman" w:cs="Times New Roman"/>
          <w:szCs w:val="24"/>
          <w:lang w:val="es-MX" w:eastAsia="es-MX"/>
        </w:rPr>
        <w:t xml:space="preserve">  son significativos, ya que tienen una Z-estadístico mayor a dos en valor absoluto, también en el mismo modelo ARCH (1) se puede advertir que se cumple el supuesto estacionariedad débil del proceso para ambos países</w:t>
      </w:r>
      <w:r w:rsidRPr="00FD1DC0">
        <w:rPr>
          <w:rFonts w:eastAsia="Times New Roman"/>
          <w:color w:val="auto"/>
          <w:sz w:val="20"/>
          <w:szCs w:val="20"/>
          <w:lang w:val="es-MX" w:eastAsia="es-ES"/>
        </w:rPr>
        <w:t xml:space="preserve">. </w:t>
      </w:r>
      <w:r w:rsidRPr="00FD1DC0">
        <w:rPr>
          <w:rFonts w:ascii="Times New Roman" w:eastAsia="Times New Roman" w:hAnsi="Times New Roman" w:cs="Times New Roman"/>
          <w:color w:val="auto"/>
          <w:szCs w:val="24"/>
          <w:lang w:val="es-MX" w:eastAsia="es-ES"/>
        </w:rPr>
        <w:t>Al mismo tiempo, los resultados nos señalan que el mejor modelo que se ajustó a la información mensual fue un modelo ARCH(1) ya que éste presentó en valor absoluto los valores más grandes de criterios estadísticos</w:t>
      </w:r>
      <w:r w:rsidRPr="00FD1DC0">
        <w:rPr>
          <w:rFonts w:ascii="Times New Roman" w:eastAsia="Times New Roman" w:hAnsi="Times New Roman" w:cs="Times New Roman"/>
          <w:color w:val="auto"/>
          <w:szCs w:val="24"/>
          <w:vertAlign w:val="superscript"/>
          <w:lang w:val="es-MX" w:eastAsia="es-ES"/>
        </w:rPr>
        <w:footnoteReference w:id="7"/>
      </w:r>
      <w:r w:rsidRPr="00FD1DC0">
        <w:rPr>
          <w:rFonts w:ascii="Times New Roman" w:eastAsia="Times New Roman" w:hAnsi="Times New Roman" w:cs="Times New Roman"/>
          <w:color w:val="auto"/>
          <w:szCs w:val="24"/>
          <w:lang w:val="es-MX" w:eastAsia="es-ES"/>
        </w:rPr>
        <w:t xml:space="preserve"> no paramétricos, como el criterio de información Akaike (AIC) y el de </w:t>
      </w:r>
      <w:r w:rsidRPr="00FD1DC0">
        <w:rPr>
          <w:rFonts w:ascii="Times New Roman" w:eastAsia="Times New Roman" w:hAnsi="Times New Roman" w:cs="Times New Roman"/>
          <w:color w:val="auto"/>
          <w:szCs w:val="24"/>
          <w:lang w:val="es-ES" w:eastAsia="es-ES"/>
        </w:rPr>
        <w:t>Schwarz</w:t>
      </w:r>
      <w:r w:rsidRPr="00FD1DC0">
        <w:rPr>
          <w:rFonts w:ascii="Times New Roman" w:eastAsia="Times New Roman" w:hAnsi="Times New Roman" w:cs="Times New Roman"/>
          <w:color w:val="auto"/>
          <w:szCs w:val="24"/>
          <w:lang w:val="es-MX" w:eastAsia="es-ES"/>
        </w:rPr>
        <w:t>(SCH) con relación a otros procesos ARCH de distinto orden.</w:t>
      </w:r>
    </w:p>
    <w:p w14:paraId="633CB8AD" w14:textId="3261ABF6" w:rsidR="00962174" w:rsidRPr="00FD1DC0" w:rsidRDefault="00962174" w:rsidP="00962174">
      <w:pPr>
        <w:autoSpaceDE w:val="0"/>
        <w:autoSpaceDN w:val="0"/>
        <w:adjustRightInd w:val="0"/>
        <w:spacing w:after="0" w:line="360" w:lineRule="auto"/>
        <w:ind w:left="0" w:right="0" w:firstLine="0"/>
        <w:rPr>
          <w:rFonts w:ascii="Times New Roman" w:eastAsia="Arial Unicode MS" w:hAnsi="Times New Roman" w:cs="Times New Roman"/>
          <w:color w:val="auto"/>
          <w:szCs w:val="24"/>
          <w:lang w:val="es-ES" w:eastAsia="es-ES"/>
        </w:rPr>
      </w:pPr>
      <w:r w:rsidRPr="00FD1DC0">
        <w:rPr>
          <w:rFonts w:ascii="Times New Roman" w:eastAsia="Times New Roman" w:hAnsi="Times New Roman" w:cs="Times New Roman"/>
          <w:color w:val="auto"/>
          <w:szCs w:val="24"/>
          <w:lang w:val="es-MX" w:eastAsia="es-ES"/>
        </w:rPr>
        <w:t xml:space="preserve">Por otro </w:t>
      </w:r>
      <w:r w:rsidR="00010E21" w:rsidRPr="00FD1DC0">
        <w:rPr>
          <w:rFonts w:ascii="Times New Roman" w:eastAsia="Times New Roman" w:hAnsi="Times New Roman" w:cs="Times New Roman"/>
          <w:color w:val="auto"/>
          <w:szCs w:val="24"/>
          <w:lang w:val="es-MX" w:eastAsia="es-ES"/>
        </w:rPr>
        <w:t>lado,</w:t>
      </w:r>
      <w:r w:rsidRPr="00FD1DC0">
        <w:rPr>
          <w:rFonts w:ascii="Times New Roman" w:eastAsia="Times New Roman" w:hAnsi="Times New Roman" w:cs="Times New Roman"/>
          <w:color w:val="auto"/>
          <w:szCs w:val="24"/>
          <w:lang w:val="es-MX" w:eastAsia="es-ES"/>
        </w:rPr>
        <w:t xml:space="preserve"> los resultados enmarcados en el cuadro 3 (modelo 3 y 4) muestran que el proceso GARCH (1,1) fue significativo para la mayoría de los parámetros de ambos países, utilizando un nivel de significancia del Z-estadístico mayor a dos en valor absoluto. De igual manera podemos apreciar que se cumple la condición de estacionariedad débil del proceso GARCH (1,1)-M (</w:t>
      </w:r>
      <w:r w:rsidR="00E34B95">
        <w:rPr>
          <w:rFonts w:ascii="Times New Roman" w:eastAsia="Times New Roman" w:hAnsi="Times New Roman" w:cs="Times New Roman"/>
          <w:position w:val="-14"/>
          <w:szCs w:val="24"/>
          <w:lang w:val="es-MX" w:eastAsia="es-MX"/>
        </w:rPr>
        <w:pict w14:anchorId="196A4499">
          <v:shape id="_x0000_i1065" type="#_x0000_t75" style="width:86.5pt;height:21.5pt">
            <v:imagedata r:id="rId90" o:title=""/>
          </v:shape>
        </w:pict>
      </w:r>
      <w:r w:rsidRPr="00FD1DC0">
        <w:rPr>
          <w:rFonts w:ascii="Times New Roman" w:eastAsia="Times New Roman" w:hAnsi="Times New Roman" w:cs="Times New Roman"/>
          <w:szCs w:val="24"/>
          <w:lang w:val="es-MX" w:eastAsia="es-MX"/>
        </w:rPr>
        <w:t>), y la misma</w:t>
      </w:r>
      <w:r w:rsidRPr="00FD1DC0">
        <w:rPr>
          <w:rFonts w:ascii="Times New Roman" w:eastAsia="Times New Roman" w:hAnsi="Times New Roman" w:cs="Times New Roman"/>
          <w:color w:val="auto"/>
          <w:szCs w:val="24"/>
          <w:lang w:val="es-MX" w:eastAsia="es-ES"/>
        </w:rPr>
        <w:t xml:space="preserve"> sugiere que la volatilidad cambiaria</w:t>
      </w:r>
      <w:r w:rsidR="00605192" w:rsidRPr="00FD1DC0">
        <w:rPr>
          <w:rFonts w:ascii="Times New Roman" w:eastAsia="Times New Roman" w:hAnsi="Times New Roman" w:cs="Times New Roman"/>
          <w:color w:val="auto"/>
          <w:szCs w:val="24"/>
          <w:lang w:val="es-MX" w:eastAsia="es-ES"/>
        </w:rPr>
        <w:t xml:space="preserve"> real</w:t>
      </w:r>
      <w:r w:rsidRPr="00FD1DC0">
        <w:rPr>
          <w:rFonts w:ascii="Times New Roman" w:eastAsia="Times New Roman" w:hAnsi="Times New Roman" w:cs="Times New Roman"/>
          <w:color w:val="auto"/>
          <w:szCs w:val="24"/>
          <w:lang w:val="es-MX" w:eastAsia="es-ES"/>
        </w:rPr>
        <w:t xml:space="preserve"> tanto en México y Brasil, tiende a disminuir con el paso del tiempo, que la misma puede explicarse por la </w:t>
      </w:r>
      <w:r w:rsidRPr="00FD1DC0">
        <w:rPr>
          <w:rFonts w:ascii="Times New Roman" w:eastAsia="Arial Unicode MS" w:hAnsi="Times New Roman" w:cs="Times New Roman"/>
          <w:color w:val="auto"/>
          <w:szCs w:val="24"/>
          <w:lang w:val="es-ES" w:eastAsia="es-ES"/>
        </w:rPr>
        <w:t>utilización de la intervención esterilizada en los mercados cambiarios que utiliza con frecuencia el Banco de México</w:t>
      </w:r>
      <w:r w:rsidR="00177AD8" w:rsidRPr="00FD1DC0">
        <w:rPr>
          <w:rFonts w:ascii="Times New Roman" w:eastAsia="Arial Unicode MS" w:hAnsi="Times New Roman" w:cs="Times New Roman"/>
          <w:color w:val="auto"/>
          <w:szCs w:val="24"/>
          <w:lang w:val="es-ES" w:eastAsia="es-ES"/>
        </w:rPr>
        <w:t xml:space="preserve"> y el Banco Central de Brasil</w:t>
      </w:r>
      <w:r w:rsidRPr="00FD1DC0">
        <w:rPr>
          <w:rFonts w:ascii="Times New Roman" w:eastAsia="Arial Unicode MS" w:hAnsi="Times New Roman" w:cs="Times New Roman"/>
          <w:color w:val="auto"/>
          <w:szCs w:val="24"/>
          <w:lang w:val="es-ES" w:eastAsia="es-ES"/>
        </w:rPr>
        <w:t xml:space="preserve"> para mitigar fundamentalm</w:t>
      </w:r>
      <w:r w:rsidR="0027209E" w:rsidRPr="00FD1DC0">
        <w:rPr>
          <w:rFonts w:ascii="Times New Roman" w:eastAsia="Arial Unicode MS" w:hAnsi="Times New Roman" w:cs="Times New Roman"/>
          <w:color w:val="auto"/>
          <w:szCs w:val="24"/>
          <w:lang w:val="es-ES" w:eastAsia="es-ES"/>
        </w:rPr>
        <w:t>ente depreciaciones no deseadas</w:t>
      </w:r>
      <w:r w:rsidRPr="00FD1DC0">
        <w:rPr>
          <w:rFonts w:ascii="Times New Roman" w:eastAsia="Arial Unicode MS" w:hAnsi="Times New Roman" w:cs="Times New Roman"/>
          <w:color w:val="auto"/>
          <w:szCs w:val="24"/>
          <w:lang w:val="es-MX" w:eastAsia="es-ES"/>
        </w:rPr>
        <w:t>,</w:t>
      </w:r>
      <w:r w:rsidRPr="00FD1DC0">
        <w:rPr>
          <w:rFonts w:ascii="Times New Roman" w:eastAsia="Arial Unicode MS" w:hAnsi="Times New Roman" w:cs="Times New Roman"/>
          <w:color w:val="auto"/>
          <w:szCs w:val="24"/>
          <w:lang w:val="es-ES" w:eastAsia="es-ES"/>
        </w:rPr>
        <w:t xml:space="preserve"> y así lograr oportunamente el cumplimiento </w:t>
      </w:r>
      <w:r w:rsidR="00964348" w:rsidRPr="00FD1DC0">
        <w:rPr>
          <w:rFonts w:ascii="Times New Roman" w:eastAsia="Arial Unicode MS" w:hAnsi="Times New Roman" w:cs="Times New Roman"/>
          <w:color w:val="auto"/>
          <w:szCs w:val="24"/>
          <w:lang w:val="es-ES" w:eastAsia="es-ES"/>
        </w:rPr>
        <w:t>de la meta de inflación</w:t>
      </w:r>
      <w:r w:rsidR="00605192" w:rsidRPr="00FD1DC0">
        <w:rPr>
          <w:rFonts w:ascii="Times New Roman" w:eastAsia="Arial Unicode MS" w:hAnsi="Times New Roman" w:cs="Times New Roman"/>
          <w:color w:val="auto"/>
          <w:szCs w:val="24"/>
          <w:lang w:val="es-ES" w:eastAsia="es-ES"/>
        </w:rPr>
        <w:t>, pero no evitando así la apreciación cambiaria real.</w:t>
      </w:r>
    </w:p>
    <w:p w14:paraId="2B85C1FB" w14:textId="32A7E425" w:rsidR="00962174" w:rsidRPr="00FD1DC0" w:rsidRDefault="00010E21" w:rsidP="00962174">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MX" w:eastAsia="es-ES"/>
        </w:rPr>
      </w:pPr>
      <w:r w:rsidRPr="00FD1DC0">
        <w:rPr>
          <w:rFonts w:ascii="Times New Roman" w:eastAsia="Times New Roman" w:hAnsi="Times New Roman" w:cs="Times New Roman"/>
          <w:color w:val="auto"/>
          <w:szCs w:val="24"/>
          <w:lang w:val="es-MX" w:eastAsia="es-ES"/>
        </w:rPr>
        <w:t>Asimismo,</w:t>
      </w:r>
      <w:r w:rsidR="00962174" w:rsidRPr="00FD1DC0">
        <w:rPr>
          <w:rFonts w:ascii="Times New Roman" w:eastAsia="Times New Roman" w:hAnsi="Times New Roman" w:cs="Times New Roman"/>
          <w:color w:val="auto"/>
          <w:szCs w:val="24"/>
          <w:lang w:val="es-MX" w:eastAsia="es-ES"/>
        </w:rPr>
        <w:t xml:space="preserve"> los resultados enmarcados en el cuadro 3 (modelo</w:t>
      </w:r>
      <w:r w:rsidR="00F6613A" w:rsidRPr="00FD1DC0">
        <w:rPr>
          <w:rFonts w:ascii="Times New Roman" w:eastAsia="Times New Roman" w:hAnsi="Times New Roman" w:cs="Times New Roman"/>
          <w:color w:val="auto"/>
          <w:szCs w:val="24"/>
          <w:lang w:val="es-MX" w:eastAsia="es-ES"/>
        </w:rPr>
        <w:t>s</w:t>
      </w:r>
      <w:r w:rsidR="00962174" w:rsidRPr="00FD1DC0">
        <w:rPr>
          <w:rFonts w:ascii="Times New Roman" w:eastAsia="Times New Roman" w:hAnsi="Times New Roman" w:cs="Times New Roman"/>
          <w:color w:val="auto"/>
          <w:szCs w:val="24"/>
          <w:lang w:val="es-MX" w:eastAsia="es-ES"/>
        </w:rPr>
        <w:t xml:space="preserve"> 5 y 6) muestran que el proceso TGARCH (1,1) fue significativo en la mayoría de los parámetros de ambos países, utilizando un nivel de significancia del Z-estadístico mayor a dos en valor absoluto.</w:t>
      </w:r>
    </w:p>
    <w:p w14:paraId="456F7AB2" w14:textId="2ACA8298" w:rsidR="00962174" w:rsidRPr="00FD1DC0" w:rsidRDefault="00962174" w:rsidP="00962174">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MX" w:eastAsia="es-ES"/>
        </w:rPr>
      </w:pPr>
      <w:r w:rsidRPr="00FD1DC0">
        <w:rPr>
          <w:rFonts w:ascii="Times New Roman" w:eastAsia="Times New Roman" w:hAnsi="Times New Roman" w:cs="Times New Roman"/>
          <w:color w:val="auto"/>
          <w:szCs w:val="24"/>
          <w:lang w:val="es-MX" w:eastAsia="es-ES"/>
        </w:rPr>
        <w:t>Además, se puede argumentar que tanto para México y Brasil el componente Threshold (</w:t>
      </w:r>
      <w:r w:rsidR="00E34B95">
        <w:rPr>
          <w:rFonts w:ascii="Times New Roman" w:eastAsia="Calibri" w:hAnsi="Times New Roman" w:cs="Times New Roman"/>
          <w:position w:val="-12"/>
          <w:szCs w:val="24"/>
          <w:lang w:val="es-MX"/>
        </w:rPr>
        <w:pict w14:anchorId="1CD65104">
          <v:shape id="_x0000_i1066" type="#_x0000_t75" style="width:21.5pt;height:21.5pt">
            <v:imagedata r:id="rId91" o:title=""/>
          </v:shape>
        </w:pict>
      </w:r>
      <w:r w:rsidRPr="00FD1DC0">
        <w:rPr>
          <w:rFonts w:ascii="Times New Roman" w:eastAsia="Calibri" w:hAnsi="Times New Roman" w:cs="Times New Roman"/>
          <w:szCs w:val="24"/>
          <w:lang w:val="es-MX"/>
        </w:rPr>
        <w:t xml:space="preserve"> x </w:t>
      </w:r>
      <w:r w:rsidRPr="00FD1DC0">
        <w:rPr>
          <w:rFonts w:ascii="Times New Roman" w:eastAsia="Calibri" w:hAnsi="Times New Roman" w:cs="Times New Roman"/>
          <w:i/>
          <w:szCs w:val="24"/>
          <w:lang w:val="es-MX"/>
        </w:rPr>
        <w:t>d</w:t>
      </w:r>
      <w:r w:rsidRPr="00FD1DC0">
        <w:rPr>
          <w:rFonts w:ascii="Times New Roman" w:eastAsia="Calibri" w:hAnsi="Times New Roman" w:cs="Times New Roman"/>
          <w:i/>
          <w:szCs w:val="24"/>
          <w:vertAlign w:val="subscript"/>
          <w:lang w:val="es-MX"/>
        </w:rPr>
        <w:t>t-1</w:t>
      </w:r>
      <w:r w:rsidRPr="00FD1DC0">
        <w:rPr>
          <w:rFonts w:ascii="Times New Roman" w:eastAsia="Times New Roman" w:hAnsi="Times New Roman" w:cs="Times New Roman"/>
          <w:color w:val="auto"/>
          <w:szCs w:val="24"/>
          <w:lang w:val="es-MX" w:eastAsia="es-ES"/>
        </w:rPr>
        <w:t>) &gt; 0, ello implica que existe efecto leverage y/o apalancamiento y si este Threshold (</w:t>
      </w:r>
      <w:r w:rsidR="00E34B95">
        <w:rPr>
          <w:rFonts w:ascii="Times New Roman" w:eastAsia="Calibri" w:hAnsi="Times New Roman" w:cs="Times New Roman"/>
          <w:position w:val="-12"/>
          <w:szCs w:val="24"/>
          <w:lang w:val="es-MX"/>
        </w:rPr>
        <w:pict w14:anchorId="64EEB91A">
          <v:shape id="_x0000_i1067" type="#_x0000_t75" style="width:21.5pt;height:21.5pt">
            <v:imagedata r:id="rId91" o:title=""/>
          </v:shape>
        </w:pict>
      </w:r>
      <w:r w:rsidRPr="00FD1DC0">
        <w:rPr>
          <w:rFonts w:ascii="Times New Roman" w:eastAsia="Calibri" w:hAnsi="Times New Roman" w:cs="Times New Roman"/>
          <w:szCs w:val="24"/>
          <w:lang w:val="es-MX"/>
        </w:rPr>
        <w:t xml:space="preserve"> x </w:t>
      </w:r>
      <w:r w:rsidRPr="00FD1DC0">
        <w:rPr>
          <w:rFonts w:ascii="Times New Roman" w:eastAsia="Calibri" w:hAnsi="Times New Roman" w:cs="Times New Roman"/>
          <w:i/>
          <w:szCs w:val="24"/>
          <w:lang w:val="es-MX"/>
        </w:rPr>
        <w:t>d</w:t>
      </w:r>
      <w:r w:rsidRPr="00FD1DC0">
        <w:rPr>
          <w:rFonts w:ascii="Times New Roman" w:eastAsia="Calibri" w:hAnsi="Times New Roman" w:cs="Times New Roman"/>
          <w:i/>
          <w:szCs w:val="24"/>
          <w:vertAlign w:val="subscript"/>
          <w:lang w:val="es-MX"/>
        </w:rPr>
        <w:t>t-1</w:t>
      </w:r>
      <w:r w:rsidRPr="00FD1DC0">
        <w:rPr>
          <w:rFonts w:ascii="Times New Roman" w:eastAsia="Times New Roman" w:hAnsi="Times New Roman" w:cs="Times New Roman"/>
          <w:color w:val="auto"/>
          <w:szCs w:val="24"/>
          <w:lang w:val="es-MX" w:eastAsia="es-ES"/>
        </w:rPr>
        <w:t>) es distinto de cero sugeriría la existencia de efectos asimétricos de la depreciación cambiaría sobre la volatilidad del tipo de cambio. Es decir que la volatilidad cambiaria</w:t>
      </w:r>
      <w:r w:rsidR="00964348" w:rsidRPr="00FD1DC0">
        <w:rPr>
          <w:rFonts w:ascii="Times New Roman" w:eastAsia="Times New Roman" w:hAnsi="Times New Roman" w:cs="Times New Roman"/>
          <w:color w:val="auto"/>
          <w:szCs w:val="24"/>
          <w:lang w:val="es-MX" w:eastAsia="es-ES"/>
        </w:rPr>
        <w:t xml:space="preserve"> real</w:t>
      </w:r>
      <w:r w:rsidRPr="00FD1DC0">
        <w:rPr>
          <w:rFonts w:ascii="Times New Roman" w:eastAsia="Times New Roman" w:hAnsi="Times New Roman" w:cs="Times New Roman"/>
          <w:color w:val="auto"/>
          <w:szCs w:val="24"/>
          <w:lang w:val="es-MX" w:eastAsia="es-ES"/>
        </w:rPr>
        <w:t xml:space="preserve"> en México y Brasil</w:t>
      </w:r>
      <w:r w:rsidRPr="00FD1DC0">
        <w:rPr>
          <w:rFonts w:ascii="Times New Roman" w:eastAsia="Times New Roman" w:hAnsi="Times New Roman" w:cs="Times New Roman"/>
          <w:color w:val="auto"/>
          <w:szCs w:val="24"/>
          <w:vertAlign w:val="superscript"/>
          <w:lang w:val="es-MX" w:eastAsia="es-ES"/>
        </w:rPr>
        <w:footnoteReference w:id="8"/>
      </w:r>
      <w:r w:rsidRPr="00FD1DC0">
        <w:rPr>
          <w:rFonts w:ascii="Times New Roman" w:eastAsia="Times New Roman" w:hAnsi="Times New Roman" w:cs="Times New Roman"/>
          <w:color w:val="auto"/>
          <w:szCs w:val="24"/>
          <w:lang w:val="es-MX" w:eastAsia="es-ES"/>
        </w:rPr>
        <w:t xml:space="preserve"> ha tendido a incrementarse más cuando </w:t>
      </w:r>
      <w:r w:rsidR="00964348" w:rsidRPr="00FD1DC0">
        <w:rPr>
          <w:rFonts w:ascii="Times New Roman" w:eastAsia="Times New Roman" w:hAnsi="Times New Roman" w:cs="Times New Roman"/>
          <w:color w:val="auto"/>
          <w:szCs w:val="24"/>
          <w:lang w:val="es-MX" w:eastAsia="es-ES"/>
        </w:rPr>
        <w:t>el tipo de cambio real</w:t>
      </w:r>
      <w:r w:rsidRPr="00FD1DC0">
        <w:rPr>
          <w:rFonts w:ascii="Times New Roman" w:eastAsia="Times New Roman" w:hAnsi="Times New Roman" w:cs="Times New Roman"/>
          <w:color w:val="auto"/>
          <w:szCs w:val="24"/>
          <w:lang w:val="es-MX" w:eastAsia="es-ES"/>
        </w:rPr>
        <w:t xml:space="preserve"> supera las expectativas que cuando esta es menor a la esperada. Ahora con relación al componente </w:t>
      </w:r>
      <w:r w:rsidR="00E34B95">
        <w:rPr>
          <w:rFonts w:ascii="Times New Roman" w:eastAsia="Calibri" w:hAnsi="Times New Roman" w:cs="Times New Roman"/>
          <w:position w:val="-12"/>
          <w:szCs w:val="24"/>
          <w:lang w:val="es-MX"/>
        </w:rPr>
        <w:pict w14:anchorId="3540128E">
          <v:shape id="_x0000_i1068" type="#_x0000_t75" style="width:21.5pt;height:21.5pt">
            <v:imagedata r:id="rId91" o:title=""/>
          </v:shape>
        </w:pict>
      </w:r>
      <w:r w:rsidRPr="00FD1DC0">
        <w:rPr>
          <w:rFonts w:ascii="Times New Roman" w:eastAsia="Calibri" w:hAnsi="Times New Roman" w:cs="Times New Roman"/>
          <w:szCs w:val="24"/>
          <w:lang w:val="es-MX"/>
        </w:rPr>
        <w:t xml:space="preserve"> resulta significativo para México y no así para Brasil y su signo nos confirmaría en el caso de México que </w:t>
      </w:r>
      <w:r w:rsidR="00177AD8" w:rsidRPr="00FD1DC0">
        <w:rPr>
          <w:rFonts w:ascii="Times New Roman" w:eastAsia="Calibri" w:hAnsi="Times New Roman" w:cs="Times New Roman"/>
          <w:szCs w:val="24"/>
          <w:lang w:val="es-MX"/>
        </w:rPr>
        <w:t xml:space="preserve">los choques positivos </w:t>
      </w:r>
      <w:r w:rsidRPr="00FD1DC0">
        <w:rPr>
          <w:rFonts w:ascii="Times New Roman" w:eastAsia="Calibri" w:hAnsi="Times New Roman" w:cs="Times New Roman"/>
          <w:szCs w:val="24"/>
          <w:lang w:val="es-MX"/>
        </w:rPr>
        <w:t>tienen un efecto positivo sobre la varianza condicional del tipo de cambio</w:t>
      </w:r>
      <w:r w:rsidR="00964348" w:rsidRPr="00FD1DC0">
        <w:rPr>
          <w:rFonts w:ascii="Times New Roman" w:eastAsia="Calibri" w:hAnsi="Times New Roman" w:cs="Times New Roman"/>
          <w:szCs w:val="24"/>
          <w:lang w:val="es-MX"/>
        </w:rPr>
        <w:t xml:space="preserve"> real</w:t>
      </w:r>
      <w:r w:rsidRPr="00FD1DC0">
        <w:rPr>
          <w:rFonts w:ascii="Times New Roman" w:eastAsia="Calibri" w:hAnsi="Times New Roman" w:cs="Times New Roman"/>
          <w:szCs w:val="24"/>
          <w:lang w:val="es-MX"/>
        </w:rPr>
        <w:t xml:space="preserve">. Mientras para el caso de Brasil </w:t>
      </w:r>
      <w:r w:rsidR="00964348" w:rsidRPr="00FD1DC0">
        <w:rPr>
          <w:rFonts w:ascii="Times New Roman" w:eastAsia="Calibri" w:hAnsi="Times New Roman" w:cs="Times New Roman"/>
          <w:szCs w:val="24"/>
          <w:lang w:val="es-MX"/>
        </w:rPr>
        <w:t xml:space="preserve">la conclusión sería de forma similar sobre </w:t>
      </w:r>
      <w:r w:rsidRPr="00FD1DC0">
        <w:rPr>
          <w:rFonts w:ascii="Times New Roman" w:eastAsia="Calibri" w:hAnsi="Times New Roman" w:cs="Times New Roman"/>
          <w:szCs w:val="24"/>
          <w:lang w:val="es-MX"/>
        </w:rPr>
        <w:t>la varianza condicional del tipo de cambio</w:t>
      </w:r>
      <w:r w:rsidR="00964348" w:rsidRPr="00FD1DC0">
        <w:rPr>
          <w:rFonts w:ascii="Times New Roman" w:eastAsia="Calibri" w:hAnsi="Times New Roman" w:cs="Times New Roman"/>
          <w:szCs w:val="24"/>
          <w:lang w:val="es-MX"/>
        </w:rPr>
        <w:t xml:space="preserve"> real</w:t>
      </w:r>
      <w:r w:rsidRPr="00FD1DC0">
        <w:rPr>
          <w:rFonts w:ascii="Times New Roman" w:eastAsia="Calibri" w:hAnsi="Times New Roman" w:cs="Times New Roman"/>
          <w:szCs w:val="24"/>
          <w:lang w:val="es-MX"/>
        </w:rPr>
        <w:t xml:space="preserve"> y si sumamos los componentes (</w:t>
      </w:r>
      <w:r w:rsidR="00E34B95">
        <w:rPr>
          <w:rFonts w:ascii="Times New Roman" w:eastAsia="Calibri" w:hAnsi="Times New Roman" w:cs="Times New Roman"/>
          <w:position w:val="-12"/>
          <w:szCs w:val="24"/>
          <w:lang w:val="es-MX"/>
        </w:rPr>
        <w:pict w14:anchorId="7614B1F1">
          <v:shape id="_x0000_i1069" type="#_x0000_t75" style="width:21.5pt;height:21.5pt">
            <v:imagedata r:id="rId91" o:title=""/>
          </v:shape>
        </w:pict>
      </w:r>
      <w:r w:rsidRPr="00FD1DC0">
        <w:rPr>
          <w:rFonts w:ascii="Times New Roman" w:eastAsia="Calibri" w:hAnsi="Times New Roman" w:cs="Times New Roman"/>
          <w:szCs w:val="24"/>
          <w:lang w:val="es-MX"/>
        </w:rPr>
        <w:t>;</w:t>
      </w:r>
      <w:r w:rsidR="00E34B95">
        <w:rPr>
          <w:rFonts w:ascii="Times New Roman" w:eastAsia="Calibri" w:hAnsi="Times New Roman" w:cs="Times New Roman"/>
          <w:position w:val="-12"/>
          <w:szCs w:val="24"/>
          <w:lang w:val="es-MX"/>
        </w:rPr>
        <w:pict w14:anchorId="12FB5B05">
          <v:shape id="_x0000_i1070" type="#_x0000_t75" style="width:21.5pt;height:21.5pt">
            <v:imagedata r:id="rId91" o:title=""/>
          </v:shape>
        </w:pict>
      </w:r>
      <w:r w:rsidRPr="00FD1DC0">
        <w:rPr>
          <w:rFonts w:ascii="Times New Roman" w:eastAsia="Calibri" w:hAnsi="Times New Roman" w:cs="Times New Roman"/>
          <w:szCs w:val="24"/>
          <w:lang w:val="es-MX"/>
        </w:rPr>
        <w:t xml:space="preserve"> x </w:t>
      </w:r>
      <w:r w:rsidRPr="00FD1DC0">
        <w:rPr>
          <w:rFonts w:ascii="Times New Roman" w:eastAsia="Calibri" w:hAnsi="Times New Roman" w:cs="Times New Roman"/>
          <w:i/>
          <w:szCs w:val="24"/>
          <w:lang w:val="es-MX"/>
        </w:rPr>
        <w:t>d</w:t>
      </w:r>
      <w:r w:rsidRPr="00FD1DC0">
        <w:rPr>
          <w:rFonts w:ascii="Times New Roman" w:eastAsia="Calibri" w:hAnsi="Times New Roman" w:cs="Times New Roman"/>
          <w:i/>
          <w:szCs w:val="24"/>
          <w:vertAlign w:val="subscript"/>
          <w:lang w:val="es-MX"/>
        </w:rPr>
        <w:t>t-1</w:t>
      </w:r>
      <w:r w:rsidRPr="00FD1DC0">
        <w:rPr>
          <w:rFonts w:ascii="Times New Roman" w:eastAsia="Calibri" w:hAnsi="Times New Roman" w:cs="Times New Roman"/>
          <w:szCs w:val="24"/>
          <w:lang w:val="es-MX"/>
        </w:rPr>
        <w:t>) t</w:t>
      </w:r>
      <w:r w:rsidR="00F81C3F" w:rsidRPr="00FD1DC0">
        <w:rPr>
          <w:rFonts w:ascii="Times New Roman" w:eastAsia="Calibri" w:hAnsi="Times New Roman" w:cs="Times New Roman"/>
          <w:szCs w:val="24"/>
          <w:lang w:val="es-MX"/>
        </w:rPr>
        <w:t>endremos el efecto de los choques</w:t>
      </w:r>
      <w:r w:rsidRPr="00FD1DC0">
        <w:rPr>
          <w:rFonts w:ascii="Times New Roman" w:eastAsia="Calibri" w:hAnsi="Times New Roman" w:cs="Times New Roman"/>
          <w:szCs w:val="24"/>
          <w:lang w:val="es-MX"/>
        </w:rPr>
        <w:t xml:space="preserve"> negativos.</w:t>
      </w:r>
    </w:p>
    <w:p w14:paraId="63B0F81B" w14:textId="77777777" w:rsidR="00CC5474" w:rsidRPr="00FD1DC0" w:rsidRDefault="00010E21" w:rsidP="00962174">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szCs w:val="24"/>
          <w:lang w:val="es-MX" w:eastAsia="es-ES"/>
        </w:rPr>
        <w:t>Asimismo,</w:t>
      </w:r>
      <w:r w:rsidR="00962174" w:rsidRPr="00FD1DC0">
        <w:rPr>
          <w:rFonts w:ascii="Times New Roman" w:eastAsia="Times New Roman" w:hAnsi="Times New Roman" w:cs="Times New Roman"/>
          <w:color w:val="auto"/>
          <w:szCs w:val="24"/>
          <w:lang w:val="es-MX" w:eastAsia="es-ES"/>
        </w:rPr>
        <w:t xml:space="preserve"> en el cuadro 3</w:t>
      </w:r>
      <w:r w:rsidR="004041A8" w:rsidRPr="00FD1DC0">
        <w:rPr>
          <w:rFonts w:ascii="Times New Roman" w:eastAsia="Times New Roman" w:hAnsi="Times New Roman" w:cs="Times New Roman"/>
          <w:color w:val="auto"/>
          <w:szCs w:val="24"/>
          <w:lang w:val="es-MX" w:eastAsia="es-ES"/>
        </w:rPr>
        <w:t xml:space="preserve">, los </w:t>
      </w:r>
      <w:r w:rsidR="00962174" w:rsidRPr="00FD1DC0">
        <w:rPr>
          <w:rFonts w:ascii="Times New Roman" w:eastAsia="Times New Roman" w:hAnsi="Times New Roman" w:cs="Times New Roman"/>
          <w:color w:val="auto"/>
          <w:szCs w:val="24"/>
          <w:lang w:val="es-MX" w:eastAsia="es-ES"/>
        </w:rPr>
        <w:t xml:space="preserve">modelos 7 y 8 muestran que el proceso EGARCH fue significativo para el periodo de análisis en la mayoría de los casos para ambos países, utilizando un nivel de significancia del Z-estadístico mayor a dos en valor absoluto. </w:t>
      </w:r>
      <w:r w:rsidR="00962174" w:rsidRPr="00FD1DC0">
        <w:rPr>
          <w:rFonts w:ascii="Times New Roman" w:eastAsia="Times New Roman" w:hAnsi="Times New Roman" w:cs="Times New Roman"/>
          <w:color w:val="auto"/>
          <w:szCs w:val="24"/>
          <w:lang w:val="es-ES" w:eastAsia="es-MX"/>
        </w:rPr>
        <w:t xml:space="preserve">Ahora con relación al componente </w:t>
      </w:r>
      <w:r w:rsidR="00E34B95">
        <w:rPr>
          <w:rFonts w:ascii="Times New Roman" w:eastAsia="Times New Roman" w:hAnsi="Times New Roman" w:cs="Times New Roman"/>
          <w:color w:val="auto"/>
          <w:position w:val="-30"/>
          <w:szCs w:val="24"/>
          <w:lang w:val="es-ES" w:eastAsia="es-ES"/>
        </w:rPr>
        <w:pict w14:anchorId="4FDF9B05">
          <v:shape id="_x0000_i1071" type="#_x0000_t75" style="width:21.5pt;height:36.5pt">
            <v:imagedata r:id="rId92" o:title=""/>
          </v:shape>
        </w:pict>
      </w:r>
      <w:r w:rsidR="00962174" w:rsidRPr="00FD1DC0">
        <w:rPr>
          <w:rFonts w:ascii="Times New Roman" w:eastAsia="Times New Roman" w:hAnsi="Times New Roman" w:cs="Times New Roman"/>
          <w:color w:val="auto"/>
          <w:szCs w:val="24"/>
          <w:lang w:val="es-ES" w:eastAsia="es-ES"/>
        </w:rPr>
        <w:t xml:space="preserve"> como es distinto de cero en ambos modelos </w:t>
      </w:r>
      <w:r w:rsidR="004041A8" w:rsidRPr="00FD1DC0">
        <w:rPr>
          <w:rFonts w:ascii="Times New Roman" w:eastAsia="Times New Roman" w:hAnsi="Times New Roman" w:cs="Times New Roman"/>
          <w:color w:val="auto"/>
          <w:szCs w:val="24"/>
          <w:lang w:val="es-ES" w:eastAsia="es-ES"/>
        </w:rPr>
        <w:t>(</w:t>
      </w:r>
      <w:r w:rsidR="00962174" w:rsidRPr="00FD1DC0">
        <w:rPr>
          <w:rFonts w:ascii="Times New Roman" w:eastAsia="Times New Roman" w:hAnsi="Times New Roman" w:cs="Times New Roman"/>
          <w:color w:val="auto"/>
          <w:szCs w:val="24"/>
          <w:lang w:val="es-ES" w:eastAsia="es-ES"/>
        </w:rPr>
        <w:t>3 y 4) tanto para México y Brasil, nos afirma que primero, los shocks son asimétricos, luego como es significativo y con signo positivo para México</w:t>
      </w:r>
      <w:r w:rsidR="00964348" w:rsidRPr="00FD1DC0">
        <w:rPr>
          <w:rFonts w:ascii="Times New Roman" w:eastAsia="Times New Roman" w:hAnsi="Times New Roman" w:cs="Times New Roman"/>
          <w:color w:val="auto"/>
          <w:szCs w:val="24"/>
          <w:lang w:val="es-ES" w:eastAsia="es-ES"/>
        </w:rPr>
        <w:t xml:space="preserve"> y Brasil</w:t>
      </w:r>
      <w:r w:rsidR="00962174" w:rsidRPr="00FD1DC0">
        <w:rPr>
          <w:rFonts w:ascii="Times New Roman" w:eastAsia="Times New Roman" w:hAnsi="Times New Roman" w:cs="Times New Roman"/>
          <w:color w:val="auto"/>
          <w:szCs w:val="24"/>
          <w:lang w:val="es-ES" w:eastAsia="es-ES"/>
        </w:rPr>
        <w:t>, implica que shocks pos</w:t>
      </w:r>
      <w:r w:rsidR="00964348" w:rsidRPr="00FD1DC0">
        <w:rPr>
          <w:rFonts w:ascii="Times New Roman" w:eastAsia="Times New Roman" w:hAnsi="Times New Roman" w:cs="Times New Roman"/>
          <w:color w:val="auto"/>
          <w:szCs w:val="24"/>
          <w:lang w:val="es-ES" w:eastAsia="es-ES"/>
        </w:rPr>
        <w:t>itivos de variaciones del tipo de cambio real</w:t>
      </w:r>
      <w:r w:rsidR="00962174" w:rsidRPr="00FD1DC0">
        <w:rPr>
          <w:rFonts w:ascii="Times New Roman" w:eastAsia="Times New Roman" w:hAnsi="Times New Roman" w:cs="Times New Roman"/>
          <w:color w:val="auto"/>
          <w:szCs w:val="24"/>
          <w:lang w:val="es-ES" w:eastAsia="es-ES"/>
        </w:rPr>
        <w:t xml:space="preserve"> tienen un impacto mayor sobre la volatilidad cambiaria</w:t>
      </w:r>
      <w:r w:rsidR="00964348" w:rsidRPr="00FD1DC0">
        <w:rPr>
          <w:rFonts w:ascii="Times New Roman" w:eastAsia="Times New Roman" w:hAnsi="Times New Roman" w:cs="Times New Roman"/>
          <w:color w:val="auto"/>
          <w:szCs w:val="24"/>
          <w:lang w:val="es-ES" w:eastAsia="es-ES"/>
        </w:rPr>
        <w:t xml:space="preserve"> real</w:t>
      </w:r>
      <w:r w:rsidR="00962174" w:rsidRPr="00FD1DC0">
        <w:rPr>
          <w:rFonts w:ascii="Times New Roman" w:eastAsia="Times New Roman" w:hAnsi="Times New Roman" w:cs="Times New Roman"/>
          <w:color w:val="auto"/>
          <w:szCs w:val="24"/>
          <w:lang w:val="es-ES" w:eastAsia="es-ES"/>
        </w:rPr>
        <w:t xml:space="preserve"> que shocks</w:t>
      </w:r>
      <w:r w:rsidR="00F81C3F" w:rsidRPr="00FD1DC0">
        <w:rPr>
          <w:rFonts w:ascii="Times New Roman" w:eastAsia="Times New Roman" w:hAnsi="Times New Roman" w:cs="Times New Roman"/>
          <w:color w:val="auto"/>
          <w:szCs w:val="24"/>
          <w:lang w:val="es-ES" w:eastAsia="es-ES"/>
        </w:rPr>
        <w:t xml:space="preserve"> negativos de la misma magnitud</w:t>
      </w:r>
      <w:r w:rsidR="00962174" w:rsidRPr="00FD1DC0">
        <w:rPr>
          <w:rFonts w:ascii="Times New Roman" w:eastAsia="Times New Roman" w:hAnsi="Times New Roman" w:cs="Times New Roman"/>
          <w:color w:val="auto"/>
          <w:szCs w:val="24"/>
          <w:lang w:val="es-ES" w:eastAsia="es-ES"/>
        </w:rPr>
        <w:t>.</w:t>
      </w:r>
    </w:p>
    <w:p w14:paraId="3E52D372" w14:textId="25DC0E2B" w:rsidR="00B33977" w:rsidRPr="00FD1DC0" w:rsidRDefault="00CC5474" w:rsidP="00962174">
      <w:pPr>
        <w:autoSpaceDE w:val="0"/>
        <w:autoSpaceDN w:val="0"/>
        <w:adjustRightInd w:val="0"/>
        <w:spacing w:after="0" w:line="360" w:lineRule="auto"/>
        <w:ind w:left="0" w:right="0" w:firstLine="0"/>
        <w:rPr>
          <w:rFonts w:ascii="Times New Roman" w:eastAsia="Times New Roman" w:hAnsi="Times New Roman" w:cs="Times New Roman"/>
          <w:color w:val="auto"/>
          <w:szCs w:val="24"/>
          <w:lang w:val="es-ES" w:eastAsia="es-ES"/>
        </w:rPr>
      </w:pPr>
      <w:r w:rsidRPr="00FD1DC0">
        <w:rPr>
          <w:rFonts w:ascii="Times New Roman" w:eastAsia="Times New Roman" w:hAnsi="Times New Roman" w:cs="Times New Roman"/>
          <w:color w:val="auto"/>
          <w:szCs w:val="24"/>
          <w:lang w:val="es-ES" w:eastAsia="es-ES"/>
        </w:rPr>
        <w:t xml:space="preserve">Dicho de otra forma, la volatilidad del tipo de cambio real podría incrementarse mas, cuando el tipo de cambio real supere las expectativas, que cuando este adopta un valor menor al </w:t>
      </w:r>
      <w:r w:rsidR="0097303F" w:rsidRPr="00FD1DC0">
        <w:rPr>
          <w:rFonts w:ascii="Times New Roman" w:eastAsia="Times New Roman" w:hAnsi="Times New Roman" w:cs="Times New Roman"/>
          <w:color w:val="auto"/>
          <w:szCs w:val="24"/>
          <w:lang w:val="es-ES" w:eastAsia="es-ES"/>
        </w:rPr>
        <w:t>esperado,</w:t>
      </w:r>
      <w:r w:rsidRPr="00FD1DC0">
        <w:rPr>
          <w:rFonts w:ascii="Times New Roman" w:eastAsia="Times New Roman" w:hAnsi="Times New Roman" w:cs="Times New Roman"/>
          <w:color w:val="auto"/>
          <w:szCs w:val="24"/>
          <w:lang w:val="es-ES" w:eastAsia="es-ES"/>
        </w:rPr>
        <w:t xml:space="preserve"> Por lo tanto</w:t>
      </w:r>
      <w:r w:rsidR="00962174" w:rsidRPr="00FD1DC0">
        <w:rPr>
          <w:rFonts w:ascii="Times New Roman" w:eastAsia="Times New Roman" w:hAnsi="Times New Roman" w:cs="Times New Roman"/>
          <w:color w:val="auto"/>
          <w:szCs w:val="24"/>
          <w:lang w:val="es-ES" w:eastAsia="es-ES"/>
        </w:rPr>
        <w:t>,</w:t>
      </w:r>
      <w:r w:rsidR="0097303F" w:rsidRPr="00FD1DC0">
        <w:rPr>
          <w:rFonts w:ascii="Times New Roman" w:eastAsia="Times New Roman" w:hAnsi="Times New Roman" w:cs="Times New Roman"/>
          <w:color w:val="auto"/>
          <w:szCs w:val="24"/>
          <w:lang w:val="es-ES" w:eastAsia="es-ES"/>
        </w:rPr>
        <w:t xml:space="preserve"> en todos los modelos simétricos y asimétricos de volatilidad del tipo de cambio real mencionados en el cuadro 3, se puede concluir que a medida que ha pasado el horizonte de pronostico el tipo de cambio real se ha apreciado en mayor magnitud en ambos países, acentuándose desde el 2002 en adelante en el caso de México y 2009 en el caso de Brasil, a su vez la volatilidad del tipo de cambio real habría permanecido controlado con tendencia a la baja que la misma es corroborado por el signo y la significancia de los parámetros de los modelos de volatilidad condicional estocástica y por el signo de la </w:t>
      </w:r>
      <w:r w:rsidR="0097303F" w:rsidRPr="00FD1DC0">
        <w:rPr>
          <w:rFonts w:ascii="Times New Roman" w:eastAsia="Times New Roman" w:hAnsi="Times New Roman" w:cs="Times New Roman"/>
          <w:i/>
          <w:color w:val="auto"/>
          <w:szCs w:val="24"/>
          <w:lang w:val="es-ES" w:eastAsia="es-ES"/>
        </w:rPr>
        <w:t>dummy de tendencia</w:t>
      </w:r>
      <w:r w:rsidR="0097303F" w:rsidRPr="00FD1DC0">
        <w:rPr>
          <w:rFonts w:ascii="Times New Roman" w:eastAsia="Times New Roman" w:hAnsi="Times New Roman" w:cs="Times New Roman"/>
          <w:color w:val="auto"/>
          <w:szCs w:val="24"/>
          <w:lang w:val="es-ES" w:eastAsia="es-ES"/>
        </w:rPr>
        <w:t xml:space="preserve"> presente en cada uno de los modelos. Por último, aceptando de que existe efectos asimétricos del tipo de cambio real sobre su misma volatilidad, por lo tanto se estaría demostrando la hipótesis principal de la tesis de investigación que la aplicación del ROI en México y Brasil para lograr el objetivo de inflación, se debe en gran medida a la aplicación recurrente de la intervención en los mercados cambiarios, fruto de una sobreacumulación de reservas internacionales, con la finalidad de tener un control sobre el tipo de cambio nominal, pero la misma no evitaría la apreciación del tipo de cambio real en México y Brasil.</w:t>
      </w:r>
    </w:p>
    <w:p w14:paraId="0D5FBF43" w14:textId="77777777" w:rsidR="00746790" w:rsidRPr="00FD1DC0" w:rsidRDefault="00E9600B">
      <w:pPr>
        <w:pStyle w:val="Ttulo5"/>
        <w:ind w:right="5"/>
        <w:rPr>
          <w:lang w:val="es-BO"/>
        </w:rPr>
      </w:pPr>
      <w:r w:rsidRPr="00FD1DC0">
        <w:rPr>
          <w:lang w:val="es-BO"/>
        </w:rPr>
        <w:t xml:space="preserve">Cuadro 4 </w:t>
      </w:r>
    </w:p>
    <w:p w14:paraId="05C92B4A" w14:textId="548A9EEA" w:rsidR="00746790" w:rsidRPr="00FD1DC0" w:rsidRDefault="00E9600B" w:rsidP="00126604">
      <w:pPr>
        <w:spacing w:after="8" w:line="250" w:lineRule="auto"/>
        <w:ind w:left="2065" w:right="158"/>
        <w:jc w:val="left"/>
        <w:rPr>
          <w:lang w:val="es-BO"/>
        </w:rPr>
      </w:pPr>
      <w:r w:rsidRPr="00FD1DC0">
        <w:rPr>
          <w:b/>
          <w:sz w:val="20"/>
          <w:lang w:val="es-BO"/>
        </w:rPr>
        <w:t xml:space="preserve">Estadísticos de diagnóstico de los modelos estimados  </w:t>
      </w:r>
    </w:p>
    <w:tbl>
      <w:tblPr>
        <w:tblStyle w:val="TableGrid"/>
        <w:tblW w:w="7866" w:type="dxa"/>
        <w:tblInd w:w="370" w:type="dxa"/>
        <w:tblCellMar>
          <w:top w:w="7" w:type="dxa"/>
          <w:left w:w="108" w:type="dxa"/>
          <w:right w:w="55" w:type="dxa"/>
        </w:tblCellMar>
        <w:tblLook w:val="04A0" w:firstRow="1" w:lastRow="0" w:firstColumn="1" w:lastColumn="0" w:noHBand="0" w:noVBand="1"/>
      </w:tblPr>
      <w:tblGrid>
        <w:gridCol w:w="1077"/>
        <w:gridCol w:w="961"/>
        <w:gridCol w:w="1080"/>
        <w:gridCol w:w="1575"/>
        <w:gridCol w:w="833"/>
        <w:gridCol w:w="1440"/>
        <w:gridCol w:w="900"/>
      </w:tblGrid>
      <w:tr w:rsidR="00746790" w:rsidRPr="00FD1DC0" w14:paraId="7ABCC53E" w14:textId="77777777" w:rsidTr="00AB77AB">
        <w:trPr>
          <w:trHeight w:val="470"/>
        </w:trPr>
        <w:tc>
          <w:tcPr>
            <w:tcW w:w="1077" w:type="dxa"/>
            <w:tcBorders>
              <w:top w:val="single" w:sz="4" w:space="0" w:color="000000"/>
              <w:left w:val="single" w:sz="4" w:space="0" w:color="000000"/>
              <w:bottom w:val="single" w:sz="4" w:space="0" w:color="000000"/>
              <w:right w:val="single" w:sz="4" w:space="0" w:color="000000"/>
            </w:tcBorders>
          </w:tcPr>
          <w:p w14:paraId="118E616B" w14:textId="77777777" w:rsidR="00746790" w:rsidRPr="00FD1DC0" w:rsidRDefault="00E9600B">
            <w:pPr>
              <w:spacing w:after="0" w:line="259" w:lineRule="auto"/>
              <w:ind w:left="79" w:right="0" w:firstLine="0"/>
              <w:jc w:val="left"/>
            </w:pPr>
            <w:r w:rsidRPr="00FD1DC0">
              <w:rPr>
                <w:b/>
                <w:sz w:val="20"/>
              </w:rPr>
              <w:t xml:space="preserve">Modelo </w:t>
            </w:r>
          </w:p>
        </w:tc>
        <w:tc>
          <w:tcPr>
            <w:tcW w:w="961" w:type="dxa"/>
            <w:tcBorders>
              <w:top w:val="single" w:sz="4" w:space="0" w:color="000000"/>
              <w:left w:val="single" w:sz="4" w:space="0" w:color="000000"/>
              <w:bottom w:val="single" w:sz="4" w:space="0" w:color="000000"/>
              <w:right w:val="single" w:sz="4" w:space="0" w:color="000000"/>
            </w:tcBorders>
          </w:tcPr>
          <w:p w14:paraId="1E3C0DCE" w14:textId="77777777" w:rsidR="00746790" w:rsidRPr="00FD1DC0" w:rsidRDefault="00E9600B">
            <w:pPr>
              <w:spacing w:after="0" w:line="259" w:lineRule="auto"/>
              <w:ind w:left="48" w:right="0" w:firstLine="0"/>
              <w:jc w:val="left"/>
            </w:pPr>
            <w:r w:rsidRPr="00FD1DC0">
              <w:rPr>
                <w:b/>
                <w:sz w:val="20"/>
              </w:rPr>
              <w:t xml:space="preserve">Akaike </w:t>
            </w:r>
          </w:p>
        </w:tc>
        <w:tc>
          <w:tcPr>
            <w:tcW w:w="1080" w:type="dxa"/>
            <w:tcBorders>
              <w:top w:val="single" w:sz="4" w:space="0" w:color="000000"/>
              <w:left w:val="single" w:sz="4" w:space="0" w:color="000000"/>
              <w:bottom w:val="single" w:sz="4" w:space="0" w:color="000000"/>
              <w:right w:val="single" w:sz="4" w:space="0" w:color="000000"/>
            </w:tcBorders>
          </w:tcPr>
          <w:p w14:paraId="00EA59B4" w14:textId="77777777" w:rsidR="00746790" w:rsidRPr="00FD1DC0" w:rsidRDefault="00E9600B">
            <w:pPr>
              <w:spacing w:after="0" w:line="259" w:lineRule="auto"/>
              <w:ind w:left="26" w:right="0" w:firstLine="0"/>
              <w:jc w:val="left"/>
            </w:pPr>
            <w:r w:rsidRPr="00FD1DC0">
              <w:rPr>
                <w:b/>
                <w:sz w:val="20"/>
              </w:rPr>
              <w:t xml:space="preserve">Schwarz </w:t>
            </w:r>
          </w:p>
        </w:tc>
        <w:tc>
          <w:tcPr>
            <w:tcW w:w="1575" w:type="dxa"/>
            <w:tcBorders>
              <w:top w:val="single" w:sz="4" w:space="0" w:color="000000"/>
              <w:left w:val="single" w:sz="4" w:space="0" w:color="000000"/>
              <w:bottom w:val="single" w:sz="4" w:space="0" w:color="000000"/>
              <w:right w:val="single" w:sz="4" w:space="0" w:color="000000"/>
            </w:tcBorders>
          </w:tcPr>
          <w:p w14:paraId="397FF4E8" w14:textId="77777777" w:rsidR="00746790" w:rsidRPr="00FD1DC0" w:rsidRDefault="00E9600B">
            <w:pPr>
              <w:spacing w:after="0" w:line="259" w:lineRule="auto"/>
              <w:ind w:left="0" w:right="46" w:firstLine="0"/>
              <w:jc w:val="center"/>
            </w:pPr>
            <w:r w:rsidRPr="00FD1DC0">
              <w:rPr>
                <w:b/>
                <w:sz w:val="20"/>
              </w:rPr>
              <w:t xml:space="preserve">HannanQuinn </w:t>
            </w:r>
          </w:p>
        </w:tc>
        <w:tc>
          <w:tcPr>
            <w:tcW w:w="833" w:type="dxa"/>
            <w:tcBorders>
              <w:top w:val="single" w:sz="4" w:space="0" w:color="000000"/>
              <w:left w:val="single" w:sz="4" w:space="0" w:color="000000"/>
              <w:bottom w:val="single" w:sz="4" w:space="0" w:color="000000"/>
              <w:right w:val="single" w:sz="4" w:space="0" w:color="000000"/>
            </w:tcBorders>
          </w:tcPr>
          <w:p w14:paraId="7CE329B1" w14:textId="3BB51F5B" w:rsidR="00746790" w:rsidRPr="00FD1DC0" w:rsidRDefault="00E9600B">
            <w:pPr>
              <w:spacing w:after="0" w:line="259" w:lineRule="auto"/>
              <w:ind w:left="0" w:right="132" w:firstLine="0"/>
              <w:jc w:val="center"/>
              <w:rPr>
                <w:vertAlign w:val="superscript"/>
              </w:rPr>
            </w:pPr>
            <w:r w:rsidRPr="00FD1DC0">
              <w:rPr>
                <w:b/>
                <w:sz w:val="20"/>
              </w:rPr>
              <w:t>R</w:t>
            </w:r>
            <w:r w:rsidR="00126604" w:rsidRPr="00FD1DC0">
              <w:rPr>
                <w:b/>
                <w:sz w:val="20"/>
                <w:vertAlign w:val="superscript"/>
              </w:rPr>
              <w:t>2</w:t>
            </w:r>
          </w:p>
        </w:tc>
        <w:tc>
          <w:tcPr>
            <w:tcW w:w="1440" w:type="dxa"/>
            <w:tcBorders>
              <w:top w:val="single" w:sz="4" w:space="0" w:color="000000"/>
              <w:left w:val="single" w:sz="4" w:space="0" w:color="000000"/>
              <w:bottom w:val="single" w:sz="4" w:space="0" w:color="000000"/>
              <w:right w:val="single" w:sz="4" w:space="0" w:color="000000"/>
            </w:tcBorders>
          </w:tcPr>
          <w:p w14:paraId="31C3668F" w14:textId="77777777" w:rsidR="00746790" w:rsidRPr="00FD1DC0" w:rsidRDefault="00E9600B">
            <w:pPr>
              <w:spacing w:after="0" w:line="259" w:lineRule="auto"/>
              <w:ind w:left="0" w:right="0" w:firstLine="0"/>
              <w:jc w:val="left"/>
            </w:pPr>
            <w:r w:rsidRPr="00FD1DC0">
              <w:rPr>
                <w:b/>
                <w:sz w:val="20"/>
              </w:rPr>
              <w:t xml:space="preserve"> Arch-Pvalue </w:t>
            </w:r>
          </w:p>
        </w:tc>
        <w:tc>
          <w:tcPr>
            <w:tcW w:w="900" w:type="dxa"/>
            <w:tcBorders>
              <w:top w:val="single" w:sz="4" w:space="0" w:color="000000"/>
              <w:left w:val="single" w:sz="4" w:space="0" w:color="000000"/>
              <w:bottom w:val="single" w:sz="4" w:space="0" w:color="000000"/>
              <w:right w:val="single" w:sz="4" w:space="0" w:color="000000"/>
            </w:tcBorders>
          </w:tcPr>
          <w:p w14:paraId="30424E26" w14:textId="77777777" w:rsidR="00746790" w:rsidRPr="00FD1DC0" w:rsidRDefault="00E9600B">
            <w:pPr>
              <w:spacing w:after="0" w:line="259" w:lineRule="auto"/>
              <w:ind w:left="0" w:right="53" w:firstLine="0"/>
              <w:jc w:val="center"/>
            </w:pPr>
            <w:r w:rsidRPr="00FD1DC0">
              <w:rPr>
                <w:b/>
                <w:sz w:val="20"/>
              </w:rPr>
              <w:t xml:space="preserve">Theil </w:t>
            </w:r>
          </w:p>
        </w:tc>
      </w:tr>
      <w:tr w:rsidR="00746790" w:rsidRPr="00FD1DC0" w14:paraId="70997A98" w14:textId="77777777" w:rsidTr="00AB77AB">
        <w:trPr>
          <w:trHeight w:val="240"/>
        </w:trPr>
        <w:tc>
          <w:tcPr>
            <w:tcW w:w="1077" w:type="dxa"/>
            <w:tcBorders>
              <w:top w:val="single" w:sz="4" w:space="0" w:color="000000"/>
              <w:left w:val="single" w:sz="4" w:space="0" w:color="000000"/>
              <w:bottom w:val="single" w:sz="4" w:space="0" w:color="000000"/>
              <w:right w:val="nil"/>
            </w:tcBorders>
          </w:tcPr>
          <w:p w14:paraId="36E7D9A1" w14:textId="77777777" w:rsidR="00746790" w:rsidRPr="00FD1DC0" w:rsidRDefault="00746790">
            <w:pPr>
              <w:spacing w:after="160" w:line="259" w:lineRule="auto"/>
              <w:ind w:left="0" w:right="0" w:firstLine="0"/>
              <w:jc w:val="left"/>
            </w:pPr>
          </w:p>
        </w:tc>
        <w:tc>
          <w:tcPr>
            <w:tcW w:w="5889" w:type="dxa"/>
            <w:gridSpan w:val="5"/>
            <w:tcBorders>
              <w:top w:val="single" w:sz="4" w:space="0" w:color="000000"/>
              <w:left w:val="nil"/>
              <w:bottom w:val="single" w:sz="4" w:space="0" w:color="000000"/>
              <w:right w:val="nil"/>
            </w:tcBorders>
          </w:tcPr>
          <w:p w14:paraId="7794C3EF" w14:textId="77777777" w:rsidR="00746790" w:rsidRPr="00FD1DC0" w:rsidRDefault="00E9600B">
            <w:pPr>
              <w:spacing w:after="0" w:line="259" w:lineRule="auto"/>
              <w:ind w:left="0" w:right="231" w:firstLine="0"/>
              <w:jc w:val="center"/>
            </w:pPr>
            <w:r w:rsidRPr="00FD1DC0">
              <w:rPr>
                <w:b/>
                <w:sz w:val="20"/>
              </w:rPr>
              <w:t xml:space="preserve">México </w:t>
            </w:r>
          </w:p>
        </w:tc>
        <w:tc>
          <w:tcPr>
            <w:tcW w:w="900" w:type="dxa"/>
            <w:tcBorders>
              <w:top w:val="single" w:sz="4" w:space="0" w:color="000000"/>
              <w:left w:val="nil"/>
              <w:bottom w:val="single" w:sz="4" w:space="0" w:color="000000"/>
              <w:right w:val="single" w:sz="4" w:space="0" w:color="000000"/>
            </w:tcBorders>
          </w:tcPr>
          <w:p w14:paraId="212DAED9" w14:textId="77777777" w:rsidR="00746790" w:rsidRPr="00FD1DC0" w:rsidRDefault="00746790">
            <w:pPr>
              <w:spacing w:after="160" w:line="259" w:lineRule="auto"/>
              <w:ind w:left="0" w:right="0" w:firstLine="0"/>
              <w:jc w:val="left"/>
            </w:pPr>
          </w:p>
        </w:tc>
      </w:tr>
      <w:tr w:rsidR="00746790" w:rsidRPr="00FD1DC0" w14:paraId="2443B183" w14:textId="77777777" w:rsidTr="00AB77AB">
        <w:trPr>
          <w:trHeight w:val="240"/>
        </w:trPr>
        <w:tc>
          <w:tcPr>
            <w:tcW w:w="1077" w:type="dxa"/>
            <w:tcBorders>
              <w:top w:val="single" w:sz="4" w:space="0" w:color="000000"/>
              <w:left w:val="single" w:sz="4" w:space="0" w:color="000000"/>
              <w:bottom w:val="single" w:sz="4" w:space="0" w:color="000000"/>
              <w:right w:val="single" w:sz="4" w:space="0" w:color="000000"/>
            </w:tcBorders>
          </w:tcPr>
          <w:p w14:paraId="4B010929" w14:textId="6360517E" w:rsidR="00746790" w:rsidRPr="00FD1DC0" w:rsidRDefault="00FD62D1">
            <w:pPr>
              <w:spacing w:after="0" w:line="259" w:lineRule="auto"/>
              <w:ind w:left="0" w:right="53" w:firstLine="0"/>
              <w:jc w:val="center"/>
              <w:rPr>
                <w:b/>
              </w:rPr>
            </w:pPr>
            <w:r w:rsidRPr="00FD1DC0">
              <w:rPr>
                <w:b/>
                <w:sz w:val="20"/>
              </w:rPr>
              <w:t>T</w:t>
            </w:r>
            <w:r w:rsidR="00E9600B" w:rsidRPr="00FD1DC0">
              <w:rPr>
                <w:b/>
                <w:sz w:val="20"/>
              </w:rPr>
              <w:t xml:space="preserve">Garch  </w:t>
            </w:r>
          </w:p>
        </w:tc>
        <w:tc>
          <w:tcPr>
            <w:tcW w:w="961" w:type="dxa"/>
            <w:tcBorders>
              <w:top w:val="single" w:sz="4" w:space="0" w:color="000000"/>
              <w:left w:val="single" w:sz="4" w:space="0" w:color="000000"/>
              <w:bottom w:val="single" w:sz="4" w:space="0" w:color="000000"/>
              <w:right w:val="single" w:sz="4" w:space="0" w:color="000000"/>
            </w:tcBorders>
          </w:tcPr>
          <w:p w14:paraId="01C95220" w14:textId="1010FADA" w:rsidR="00746790" w:rsidRPr="00FD1DC0" w:rsidRDefault="00FD62D1">
            <w:pPr>
              <w:spacing w:after="0" w:line="259" w:lineRule="auto"/>
              <w:ind w:left="0" w:right="56" w:firstLine="0"/>
              <w:jc w:val="center"/>
            </w:pPr>
            <w:r w:rsidRPr="00FD1DC0">
              <w:rPr>
                <w:sz w:val="20"/>
              </w:rPr>
              <w:t>-6.98</w:t>
            </w:r>
            <w:r w:rsidR="00E9600B" w:rsidRPr="00FD1DC0">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3603C24" w14:textId="168858DF" w:rsidR="00746790" w:rsidRPr="00FD1DC0" w:rsidRDefault="00FD62D1">
            <w:pPr>
              <w:spacing w:after="0" w:line="259" w:lineRule="auto"/>
              <w:ind w:left="0" w:right="55" w:firstLine="0"/>
              <w:jc w:val="center"/>
            </w:pPr>
            <w:r w:rsidRPr="00FD1DC0">
              <w:rPr>
                <w:sz w:val="20"/>
              </w:rPr>
              <w:t>-5.73</w:t>
            </w:r>
            <w:r w:rsidR="00E9600B" w:rsidRPr="00FD1DC0">
              <w:rPr>
                <w:sz w:val="20"/>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3DEFF27E" w14:textId="03B21B0C" w:rsidR="00746790" w:rsidRPr="00FD1DC0" w:rsidRDefault="00FD62D1">
            <w:pPr>
              <w:spacing w:after="0" w:line="259" w:lineRule="auto"/>
              <w:ind w:left="0" w:right="60" w:firstLine="0"/>
              <w:jc w:val="center"/>
            </w:pPr>
            <w:r w:rsidRPr="00FD1DC0">
              <w:rPr>
                <w:sz w:val="20"/>
              </w:rPr>
              <w:t>-5.99</w:t>
            </w:r>
            <w:r w:rsidR="00E9600B" w:rsidRPr="00FD1DC0">
              <w:rPr>
                <w:sz w:val="20"/>
              </w:rPr>
              <w:t xml:space="preserve"> </w:t>
            </w:r>
          </w:p>
        </w:tc>
        <w:tc>
          <w:tcPr>
            <w:tcW w:w="833" w:type="dxa"/>
            <w:tcBorders>
              <w:top w:val="single" w:sz="4" w:space="0" w:color="000000"/>
              <w:left w:val="single" w:sz="4" w:space="0" w:color="000000"/>
              <w:bottom w:val="single" w:sz="4" w:space="0" w:color="000000"/>
              <w:right w:val="single" w:sz="4" w:space="0" w:color="000000"/>
            </w:tcBorders>
          </w:tcPr>
          <w:p w14:paraId="3936AC35" w14:textId="33EB8C69" w:rsidR="00746790" w:rsidRPr="00FD1DC0" w:rsidRDefault="00FD62D1">
            <w:pPr>
              <w:spacing w:after="0" w:line="259" w:lineRule="auto"/>
              <w:ind w:left="0" w:right="62" w:firstLine="0"/>
              <w:jc w:val="center"/>
            </w:pPr>
            <w:r w:rsidRPr="00FD1DC0">
              <w:rPr>
                <w:sz w:val="20"/>
              </w:rPr>
              <w:t>0.89</w:t>
            </w:r>
            <w:r w:rsidR="00E9600B" w:rsidRPr="00FD1DC0">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1793E55" w14:textId="35690EBB" w:rsidR="00746790" w:rsidRPr="00FD1DC0" w:rsidRDefault="00FD62D1">
            <w:pPr>
              <w:spacing w:after="0" w:line="259" w:lineRule="auto"/>
              <w:ind w:left="0" w:right="56" w:firstLine="0"/>
              <w:jc w:val="center"/>
            </w:pPr>
            <w:r w:rsidRPr="00FD1DC0">
              <w:rPr>
                <w:sz w:val="20"/>
              </w:rPr>
              <w:t>0.12</w:t>
            </w:r>
          </w:p>
        </w:tc>
        <w:tc>
          <w:tcPr>
            <w:tcW w:w="900" w:type="dxa"/>
            <w:tcBorders>
              <w:top w:val="single" w:sz="4" w:space="0" w:color="000000"/>
              <w:left w:val="single" w:sz="4" w:space="0" w:color="000000"/>
              <w:bottom w:val="single" w:sz="4" w:space="0" w:color="000000"/>
              <w:right w:val="single" w:sz="4" w:space="0" w:color="000000"/>
            </w:tcBorders>
          </w:tcPr>
          <w:p w14:paraId="2358E486" w14:textId="52C74C74" w:rsidR="00746790" w:rsidRPr="00FD1DC0" w:rsidRDefault="00FD62D1">
            <w:pPr>
              <w:spacing w:after="0" w:line="259" w:lineRule="auto"/>
              <w:ind w:left="0" w:right="55" w:firstLine="0"/>
              <w:jc w:val="center"/>
            </w:pPr>
            <w:r w:rsidRPr="00FD1DC0">
              <w:rPr>
                <w:sz w:val="20"/>
              </w:rPr>
              <w:t>0.002</w:t>
            </w:r>
            <w:r w:rsidR="00E9600B" w:rsidRPr="00FD1DC0">
              <w:rPr>
                <w:sz w:val="20"/>
              </w:rPr>
              <w:t xml:space="preserve"> </w:t>
            </w:r>
          </w:p>
        </w:tc>
      </w:tr>
      <w:tr w:rsidR="00746790" w:rsidRPr="00FD1DC0" w14:paraId="27589C35" w14:textId="77777777" w:rsidTr="00AB77AB">
        <w:trPr>
          <w:trHeight w:val="240"/>
        </w:trPr>
        <w:tc>
          <w:tcPr>
            <w:tcW w:w="1077" w:type="dxa"/>
            <w:tcBorders>
              <w:top w:val="single" w:sz="4" w:space="0" w:color="000000"/>
              <w:left w:val="single" w:sz="4" w:space="0" w:color="000000"/>
              <w:bottom w:val="single" w:sz="4" w:space="0" w:color="000000"/>
              <w:right w:val="single" w:sz="4" w:space="0" w:color="000000"/>
            </w:tcBorders>
          </w:tcPr>
          <w:p w14:paraId="53FDC2D9" w14:textId="3AB166B8" w:rsidR="00746790" w:rsidRPr="00FD1DC0" w:rsidRDefault="00FD62D1">
            <w:pPr>
              <w:spacing w:after="0" w:line="259" w:lineRule="auto"/>
              <w:ind w:left="91" w:right="0" w:firstLine="0"/>
              <w:jc w:val="left"/>
            </w:pPr>
            <w:r w:rsidRPr="00FD1DC0">
              <w:rPr>
                <w:sz w:val="20"/>
              </w:rPr>
              <w:t>P</w:t>
            </w:r>
            <w:r w:rsidR="00E9600B" w:rsidRPr="00FD1DC0">
              <w:rPr>
                <w:sz w:val="20"/>
              </w:rPr>
              <w:t xml:space="preserve">arch </w:t>
            </w:r>
          </w:p>
        </w:tc>
        <w:tc>
          <w:tcPr>
            <w:tcW w:w="961" w:type="dxa"/>
            <w:tcBorders>
              <w:top w:val="single" w:sz="4" w:space="0" w:color="000000"/>
              <w:left w:val="single" w:sz="4" w:space="0" w:color="000000"/>
              <w:bottom w:val="single" w:sz="4" w:space="0" w:color="000000"/>
              <w:right w:val="single" w:sz="4" w:space="0" w:color="000000"/>
            </w:tcBorders>
          </w:tcPr>
          <w:p w14:paraId="4928CF44" w14:textId="1592E1CD" w:rsidR="00746790" w:rsidRPr="00FD1DC0" w:rsidRDefault="00FD62D1">
            <w:pPr>
              <w:spacing w:after="0" w:line="259" w:lineRule="auto"/>
              <w:ind w:left="0" w:right="56" w:firstLine="0"/>
              <w:jc w:val="center"/>
            </w:pPr>
            <w:r w:rsidRPr="00FD1DC0">
              <w:rPr>
                <w:sz w:val="20"/>
              </w:rPr>
              <w:t>-6.32</w:t>
            </w:r>
            <w:r w:rsidR="00E9600B" w:rsidRPr="00FD1DC0">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DA4505A" w14:textId="6FB4E67A" w:rsidR="00746790" w:rsidRPr="00FD1DC0" w:rsidRDefault="00FD62D1">
            <w:pPr>
              <w:spacing w:after="0" w:line="259" w:lineRule="auto"/>
              <w:ind w:left="0" w:right="55" w:firstLine="0"/>
              <w:jc w:val="center"/>
            </w:pPr>
            <w:r w:rsidRPr="00FD1DC0">
              <w:rPr>
                <w:sz w:val="20"/>
              </w:rPr>
              <w:t>-5.12</w:t>
            </w:r>
            <w:r w:rsidR="00E9600B" w:rsidRPr="00FD1DC0">
              <w:rPr>
                <w:sz w:val="20"/>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3AB4EB5" w14:textId="6AFBFA3A" w:rsidR="00746790" w:rsidRPr="00FD1DC0" w:rsidRDefault="00FD62D1">
            <w:pPr>
              <w:spacing w:after="0" w:line="259" w:lineRule="auto"/>
              <w:ind w:left="0" w:right="60" w:firstLine="0"/>
              <w:jc w:val="center"/>
            </w:pPr>
            <w:r w:rsidRPr="00FD1DC0">
              <w:rPr>
                <w:sz w:val="20"/>
              </w:rPr>
              <w:t>-5.21</w:t>
            </w:r>
            <w:r w:rsidR="00E9600B" w:rsidRPr="00FD1DC0">
              <w:rPr>
                <w:sz w:val="20"/>
              </w:rPr>
              <w:t xml:space="preserve"> </w:t>
            </w:r>
          </w:p>
        </w:tc>
        <w:tc>
          <w:tcPr>
            <w:tcW w:w="833" w:type="dxa"/>
            <w:tcBorders>
              <w:top w:val="single" w:sz="4" w:space="0" w:color="000000"/>
              <w:left w:val="single" w:sz="4" w:space="0" w:color="000000"/>
              <w:bottom w:val="single" w:sz="4" w:space="0" w:color="000000"/>
              <w:right w:val="single" w:sz="4" w:space="0" w:color="000000"/>
            </w:tcBorders>
          </w:tcPr>
          <w:p w14:paraId="3DF75091" w14:textId="68855E6C" w:rsidR="00746790" w:rsidRPr="00FD1DC0" w:rsidRDefault="00FD62D1">
            <w:pPr>
              <w:spacing w:after="0" w:line="259" w:lineRule="auto"/>
              <w:ind w:left="0" w:right="62" w:firstLine="0"/>
              <w:jc w:val="center"/>
            </w:pPr>
            <w:r w:rsidRPr="00FD1DC0">
              <w:rPr>
                <w:sz w:val="20"/>
              </w:rPr>
              <w:t>0.76</w:t>
            </w:r>
            <w:r w:rsidR="00E9600B" w:rsidRPr="00FD1DC0">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DAAA35" w14:textId="7CC70D84" w:rsidR="00746790" w:rsidRPr="00FD1DC0" w:rsidRDefault="00FD62D1">
            <w:pPr>
              <w:spacing w:after="0" w:line="259" w:lineRule="auto"/>
              <w:ind w:left="0" w:right="56" w:firstLine="0"/>
              <w:jc w:val="center"/>
            </w:pPr>
            <w:r w:rsidRPr="00FD1DC0">
              <w:rPr>
                <w:sz w:val="20"/>
              </w:rPr>
              <w:t>0.32</w:t>
            </w:r>
            <w:r w:rsidR="00E9600B" w:rsidRPr="00FD1DC0">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6C0A3CD" w14:textId="7ED08F23" w:rsidR="00746790" w:rsidRPr="00FD1DC0" w:rsidRDefault="00FD62D1">
            <w:pPr>
              <w:spacing w:after="0" w:line="259" w:lineRule="auto"/>
              <w:ind w:left="0" w:right="55" w:firstLine="0"/>
              <w:jc w:val="center"/>
            </w:pPr>
            <w:r w:rsidRPr="00FD1DC0">
              <w:rPr>
                <w:sz w:val="20"/>
              </w:rPr>
              <w:t>0.004</w:t>
            </w:r>
            <w:r w:rsidR="00E9600B" w:rsidRPr="00FD1DC0">
              <w:rPr>
                <w:sz w:val="20"/>
              </w:rPr>
              <w:t xml:space="preserve"> </w:t>
            </w:r>
          </w:p>
        </w:tc>
      </w:tr>
      <w:tr w:rsidR="00746790" w:rsidRPr="00FD1DC0" w14:paraId="349564E0" w14:textId="77777777" w:rsidTr="00AB77AB">
        <w:trPr>
          <w:trHeight w:val="240"/>
        </w:trPr>
        <w:tc>
          <w:tcPr>
            <w:tcW w:w="1077" w:type="dxa"/>
            <w:tcBorders>
              <w:top w:val="single" w:sz="4" w:space="0" w:color="000000"/>
              <w:left w:val="single" w:sz="4" w:space="0" w:color="000000"/>
              <w:bottom w:val="single" w:sz="4" w:space="0" w:color="000000"/>
              <w:right w:val="nil"/>
            </w:tcBorders>
          </w:tcPr>
          <w:p w14:paraId="0D6D6198" w14:textId="77777777" w:rsidR="00746790" w:rsidRPr="00FD1DC0" w:rsidRDefault="00746790">
            <w:pPr>
              <w:spacing w:after="160" w:line="259" w:lineRule="auto"/>
              <w:ind w:left="0" w:right="0" w:firstLine="0"/>
              <w:jc w:val="left"/>
            </w:pPr>
          </w:p>
        </w:tc>
        <w:tc>
          <w:tcPr>
            <w:tcW w:w="5889" w:type="dxa"/>
            <w:gridSpan w:val="5"/>
            <w:tcBorders>
              <w:top w:val="single" w:sz="4" w:space="0" w:color="000000"/>
              <w:left w:val="nil"/>
              <w:bottom w:val="single" w:sz="4" w:space="0" w:color="000000"/>
              <w:right w:val="nil"/>
            </w:tcBorders>
          </w:tcPr>
          <w:p w14:paraId="3845AA82" w14:textId="77777777" w:rsidR="00746790" w:rsidRPr="00FD1DC0" w:rsidRDefault="00E9600B">
            <w:pPr>
              <w:spacing w:after="0" w:line="259" w:lineRule="auto"/>
              <w:ind w:left="0" w:right="236" w:firstLine="0"/>
              <w:jc w:val="center"/>
            </w:pPr>
            <w:r w:rsidRPr="00FD1DC0">
              <w:rPr>
                <w:b/>
                <w:sz w:val="20"/>
              </w:rPr>
              <w:t xml:space="preserve">Brasil </w:t>
            </w:r>
          </w:p>
        </w:tc>
        <w:tc>
          <w:tcPr>
            <w:tcW w:w="900" w:type="dxa"/>
            <w:tcBorders>
              <w:top w:val="single" w:sz="4" w:space="0" w:color="000000"/>
              <w:left w:val="nil"/>
              <w:bottom w:val="single" w:sz="4" w:space="0" w:color="000000"/>
              <w:right w:val="single" w:sz="4" w:space="0" w:color="000000"/>
            </w:tcBorders>
          </w:tcPr>
          <w:p w14:paraId="63AB1018" w14:textId="77777777" w:rsidR="00746790" w:rsidRPr="00FD1DC0" w:rsidRDefault="00746790">
            <w:pPr>
              <w:spacing w:after="160" w:line="259" w:lineRule="auto"/>
              <w:ind w:left="0" w:right="0" w:firstLine="0"/>
              <w:jc w:val="left"/>
            </w:pPr>
          </w:p>
        </w:tc>
      </w:tr>
      <w:tr w:rsidR="00746790" w:rsidRPr="00FD1DC0" w14:paraId="6C8F21DB" w14:textId="77777777" w:rsidTr="00AB77AB">
        <w:trPr>
          <w:trHeight w:val="240"/>
        </w:trPr>
        <w:tc>
          <w:tcPr>
            <w:tcW w:w="1077" w:type="dxa"/>
            <w:tcBorders>
              <w:top w:val="single" w:sz="4" w:space="0" w:color="000000"/>
              <w:left w:val="single" w:sz="4" w:space="0" w:color="000000"/>
              <w:bottom w:val="single" w:sz="4" w:space="0" w:color="000000"/>
              <w:right w:val="single" w:sz="4" w:space="0" w:color="000000"/>
            </w:tcBorders>
          </w:tcPr>
          <w:p w14:paraId="624BBE63" w14:textId="5A0F38A0" w:rsidR="00746790" w:rsidRPr="00FD1DC0" w:rsidRDefault="00FD62D1">
            <w:pPr>
              <w:spacing w:after="0" w:line="259" w:lineRule="auto"/>
              <w:ind w:left="0" w:right="53" w:firstLine="0"/>
              <w:jc w:val="center"/>
            </w:pPr>
            <w:r w:rsidRPr="00FD1DC0">
              <w:rPr>
                <w:sz w:val="20"/>
              </w:rPr>
              <w:t>T</w:t>
            </w:r>
            <w:r w:rsidR="00E9600B" w:rsidRPr="00FD1DC0">
              <w:rPr>
                <w:sz w:val="20"/>
              </w:rPr>
              <w:t xml:space="preserve">Garch  </w:t>
            </w:r>
          </w:p>
        </w:tc>
        <w:tc>
          <w:tcPr>
            <w:tcW w:w="961" w:type="dxa"/>
            <w:tcBorders>
              <w:top w:val="single" w:sz="4" w:space="0" w:color="000000"/>
              <w:left w:val="single" w:sz="4" w:space="0" w:color="000000"/>
              <w:bottom w:val="single" w:sz="4" w:space="0" w:color="000000"/>
              <w:right w:val="single" w:sz="4" w:space="0" w:color="000000"/>
            </w:tcBorders>
          </w:tcPr>
          <w:p w14:paraId="0ED3D414" w14:textId="4A25564D" w:rsidR="00746790" w:rsidRPr="00FD1DC0" w:rsidRDefault="00FD62D1">
            <w:pPr>
              <w:spacing w:after="0" w:line="259" w:lineRule="auto"/>
              <w:ind w:left="0" w:right="56" w:firstLine="0"/>
              <w:jc w:val="center"/>
              <w:rPr>
                <w:lang w:val="es-BO"/>
              </w:rPr>
            </w:pPr>
            <w:r w:rsidRPr="00FD1DC0">
              <w:rPr>
                <w:sz w:val="20"/>
                <w:lang w:val="es-BO"/>
              </w:rPr>
              <w:t>-5.43</w:t>
            </w:r>
            <w:r w:rsidR="00E9600B" w:rsidRPr="00FD1DC0">
              <w:rPr>
                <w:sz w:val="20"/>
                <w:lang w:val="es-BO"/>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F7BBD42" w14:textId="1829145D" w:rsidR="00746790" w:rsidRPr="00FD1DC0" w:rsidRDefault="00FD62D1">
            <w:pPr>
              <w:spacing w:after="0" w:line="259" w:lineRule="auto"/>
              <w:ind w:left="0" w:right="55" w:firstLine="0"/>
              <w:jc w:val="center"/>
              <w:rPr>
                <w:lang w:val="es-BO"/>
              </w:rPr>
            </w:pPr>
            <w:r w:rsidRPr="00FD1DC0">
              <w:rPr>
                <w:sz w:val="20"/>
                <w:lang w:val="es-BO"/>
              </w:rPr>
              <w:t>-5.32</w:t>
            </w:r>
            <w:r w:rsidR="00E9600B" w:rsidRPr="00FD1DC0">
              <w:rPr>
                <w:sz w:val="20"/>
                <w:lang w:val="es-BO"/>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79187D71" w14:textId="4D1DB25F" w:rsidR="00746790" w:rsidRPr="00FD1DC0" w:rsidRDefault="00FD62D1">
            <w:pPr>
              <w:spacing w:after="0" w:line="259" w:lineRule="auto"/>
              <w:ind w:left="0" w:right="60" w:firstLine="0"/>
              <w:jc w:val="center"/>
              <w:rPr>
                <w:lang w:val="es-BO"/>
              </w:rPr>
            </w:pPr>
            <w:r w:rsidRPr="00FD1DC0">
              <w:rPr>
                <w:sz w:val="20"/>
                <w:lang w:val="es-BO"/>
              </w:rPr>
              <w:t>-6.21</w:t>
            </w:r>
            <w:r w:rsidR="00E9600B" w:rsidRPr="00FD1DC0">
              <w:rPr>
                <w:sz w:val="20"/>
                <w:lang w:val="es-BO"/>
              </w:rPr>
              <w:t xml:space="preserve"> </w:t>
            </w:r>
          </w:p>
        </w:tc>
        <w:tc>
          <w:tcPr>
            <w:tcW w:w="833" w:type="dxa"/>
            <w:tcBorders>
              <w:top w:val="single" w:sz="4" w:space="0" w:color="000000"/>
              <w:left w:val="single" w:sz="4" w:space="0" w:color="000000"/>
              <w:bottom w:val="single" w:sz="4" w:space="0" w:color="000000"/>
              <w:right w:val="single" w:sz="4" w:space="0" w:color="000000"/>
            </w:tcBorders>
          </w:tcPr>
          <w:p w14:paraId="3B914A9E" w14:textId="7AE058AA" w:rsidR="00746790" w:rsidRPr="00FD1DC0" w:rsidRDefault="00FD62D1">
            <w:pPr>
              <w:spacing w:after="0" w:line="259" w:lineRule="auto"/>
              <w:ind w:left="0" w:right="62" w:firstLine="0"/>
              <w:jc w:val="center"/>
              <w:rPr>
                <w:lang w:val="es-BO"/>
              </w:rPr>
            </w:pPr>
            <w:r w:rsidRPr="00FD1DC0">
              <w:rPr>
                <w:sz w:val="20"/>
                <w:lang w:val="es-BO"/>
              </w:rPr>
              <w:t>0.81</w:t>
            </w:r>
            <w:r w:rsidR="00E9600B" w:rsidRPr="00FD1DC0">
              <w:rPr>
                <w:sz w:val="20"/>
                <w:lang w:val="es-BO"/>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FE85EE6" w14:textId="435AB641" w:rsidR="00746790" w:rsidRPr="00FD1DC0" w:rsidRDefault="00FD62D1">
            <w:pPr>
              <w:spacing w:after="0" w:line="259" w:lineRule="auto"/>
              <w:ind w:left="0" w:right="56" w:firstLine="0"/>
              <w:jc w:val="center"/>
              <w:rPr>
                <w:lang w:val="es-BO"/>
              </w:rPr>
            </w:pPr>
            <w:r w:rsidRPr="00FD1DC0">
              <w:rPr>
                <w:sz w:val="20"/>
                <w:lang w:val="es-BO"/>
              </w:rPr>
              <w:t>0.31</w:t>
            </w:r>
            <w:r w:rsidR="00E9600B" w:rsidRPr="00FD1DC0">
              <w:rPr>
                <w:sz w:val="20"/>
                <w:lang w:val="es-BO"/>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08D6CAE" w14:textId="4C1DCB92" w:rsidR="00746790" w:rsidRPr="00FD1DC0" w:rsidRDefault="00FD62D1">
            <w:pPr>
              <w:spacing w:after="0" w:line="259" w:lineRule="auto"/>
              <w:ind w:left="0" w:right="55" w:firstLine="0"/>
              <w:jc w:val="center"/>
              <w:rPr>
                <w:lang w:val="es-BO"/>
              </w:rPr>
            </w:pPr>
            <w:r w:rsidRPr="00FD1DC0">
              <w:rPr>
                <w:sz w:val="20"/>
                <w:lang w:val="es-BO"/>
              </w:rPr>
              <w:t>0.003</w:t>
            </w:r>
            <w:r w:rsidR="00E9600B" w:rsidRPr="00FD1DC0">
              <w:rPr>
                <w:sz w:val="20"/>
                <w:lang w:val="es-BO"/>
              </w:rPr>
              <w:t xml:space="preserve"> </w:t>
            </w:r>
          </w:p>
        </w:tc>
      </w:tr>
      <w:tr w:rsidR="00746790" w:rsidRPr="00FD1DC0" w14:paraId="68FFDDC0" w14:textId="77777777" w:rsidTr="00AB77AB">
        <w:trPr>
          <w:trHeight w:val="240"/>
        </w:trPr>
        <w:tc>
          <w:tcPr>
            <w:tcW w:w="1077" w:type="dxa"/>
            <w:tcBorders>
              <w:top w:val="single" w:sz="4" w:space="0" w:color="000000"/>
              <w:left w:val="single" w:sz="4" w:space="0" w:color="000000"/>
              <w:bottom w:val="single" w:sz="4" w:space="0" w:color="000000"/>
              <w:right w:val="single" w:sz="4" w:space="0" w:color="000000"/>
            </w:tcBorders>
          </w:tcPr>
          <w:p w14:paraId="4A12B5CF" w14:textId="6C10412B" w:rsidR="00746790" w:rsidRPr="00FD1DC0" w:rsidRDefault="00FD62D1">
            <w:pPr>
              <w:spacing w:after="0" w:line="259" w:lineRule="auto"/>
              <w:ind w:left="91" w:right="0" w:firstLine="0"/>
              <w:jc w:val="left"/>
              <w:rPr>
                <w:b/>
                <w:lang w:val="es-BO"/>
              </w:rPr>
            </w:pPr>
            <w:r w:rsidRPr="00FD1DC0">
              <w:rPr>
                <w:b/>
                <w:sz w:val="20"/>
                <w:lang w:val="es-BO"/>
              </w:rPr>
              <w:t>P</w:t>
            </w:r>
            <w:r w:rsidR="00E9600B" w:rsidRPr="00FD1DC0">
              <w:rPr>
                <w:b/>
                <w:sz w:val="20"/>
                <w:lang w:val="es-BO"/>
              </w:rPr>
              <w:t xml:space="preserve">arch </w:t>
            </w:r>
          </w:p>
        </w:tc>
        <w:tc>
          <w:tcPr>
            <w:tcW w:w="961" w:type="dxa"/>
            <w:tcBorders>
              <w:top w:val="single" w:sz="4" w:space="0" w:color="000000"/>
              <w:left w:val="single" w:sz="4" w:space="0" w:color="000000"/>
              <w:bottom w:val="single" w:sz="4" w:space="0" w:color="000000"/>
              <w:right w:val="single" w:sz="4" w:space="0" w:color="000000"/>
            </w:tcBorders>
          </w:tcPr>
          <w:p w14:paraId="4AD5ABBA" w14:textId="1E29BB8C" w:rsidR="00746790" w:rsidRPr="00FD1DC0" w:rsidRDefault="00FD62D1">
            <w:pPr>
              <w:spacing w:after="0" w:line="259" w:lineRule="auto"/>
              <w:ind w:left="0" w:right="56" w:firstLine="0"/>
              <w:jc w:val="center"/>
              <w:rPr>
                <w:lang w:val="es-BO"/>
              </w:rPr>
            </w:pPr>
            <w:r w:rsidRPr="00FD1DC0">
              <w:rPr>
                <w:sz w:val="20"/>
                <w:lang w:val="es-BO"/>
              </w:rPr>
              <w:t>-5.9</w:t>
            </w:r>
            <w:r w:rsidR="00E9600B" w:rsidRPr="00FD1DC0">
              <w:rPr>
                <w:sz w:val="20"/>
                <w:lang w:val="es-BO"/>
              </w:rPr>
              <w:t xml:space="preserve">1 </w:t>
            </w:r>
          </w:p>
        </w:tc>
        <w:tc>
          <w:tcPr>
            <w:tcW w:w="1080" w:type="dxa"/>
            <w:tcBorders>
              <w:top w:val="single" w:sz="4" w:space="0" w:color="000000"/>
              <w:left w:val="single" w:sz="4" w:space="0" w:color="000000"/>
              <w:bottom w:val="single" w:sz="4" w:space="0" w:color="000000"/>
              <w:right w:val="single" w:sz="4" w:space="0" w:color="000000"/>
            </w:tcBorders>
          </w:tcPr>
          <w:p w14:paraId="0229DD22" w14:textId="7FBACD47" w:rsidR="00746790" w:rsidRPr="00FD1DC0" w:rsidRDefault="00FD62D1">
            <w:pPr>
              <w:spacing w:after="0" w:line="259" w:lineRule="auto"/>
              <w:ind w:left="0" w:right="55" w:firstLine="0"/>
              <w:jc w:val="center"/>
              <w:rPr>
                <w:lang w:val="es-BO"/>
              </w:rPr>
            </w:pPr>
            <w:r w:rsidRPr="00FD1DC0">
              <w:rPr>
                <w:sz w:val="20"/>
                <w:lang w:val="es-BO"/>
              </w:rPr>
              <w:t>-5.98</w:t>
            </w:r>
            <w:r w:rsidR="00E9600B" w:rsidRPr="00FD1DC0">
              <w:rPr>
                <w:sz w:val="20"/>
                <w:lang w:val="es-BO"/>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1B151DAC" w14:textId="68BADBBA" w:rsidR="00746790" w:rsidRPr="00FD1DC0" w:rsidRDefault="00FD62D1">
            <w:pPr>
              <w:spacing w:after="0" w:line="259" w:lineRule="auto"/>
              <w:ind w:left="0" w:right="60" w:firstLine="0"/>
              <w:jc w:val="center"/>
              <w:rPr>
                <w:lang w:val="es-BO"/>
              </w:rPr>
            </w:pPr>
            <w:r w:rsidRPr="00FD1DC0">
              <w:rPr>
                <w:sz w:val="20"/>
                <w:lang w:val="es-BO"/>
              </w:rPr>
              <w:t>-6.87</w:t>
            </w:r>
            <w:r w:rsidR="00E9600B" w:rsidRPr="00FD1DC0">
              <w:rPr>
                <w:sz w:val="20"/>
                <w:lang w:val="es-BO"/>
              </w:rPr>
              <w:t xml:space="preserve"> </w:t>
            </w:r>
          </w:p>
        </w:tc>
        <w:tc>
          <w:tcPr>
            <w:tcW w:w="833" w:type="dxa"/>
            <w:tcBorders>
              <w:top w:val="single" w:sz="4" w:space="0" w:color="000000"/>
              <w:left w:val="single" w:sz="4" w:space="0" w:color="000000"/>
              <w:bottom w:val="single" w:sz="4" w:space="0" w:color="000000"/>
              <w:right w:val="single" w:sz="4" w:space="0" w:color="000000"/>
            </w:tcBorders>
          </w:tcPr>
          <w:p w14:paraId="14200B6F" w14:textId="441607C8" w:rsidR="00746790" w:rsidRPr="00FD1DC0" w:rsidRDefault="00FD62D1">
            <w:pPr>
              <w:spacing w:after="0" w:line="259" w:lineRule="auto"/>
              <w:ind w:left="0" w:right="62" w:firstLine="0"/>
              <w:jc w:val="center"/>
              <w:rPr>
                <w:lang w:val="es-BO"/>
              </w:rPr>
            </w:pPr>
            <w:r w:rsidRPr="00FD1DC0">
              <w:rPr>
                <w:sz w:val="20"/>
                <w:lang w:val="es-BO"/>
              </w:rPr>
              <w:t>0.87</w:t>
            </w:r>
          </w:p>
        </w:tc>
        <w:tc>
          <w:tcPr>
            <w:tcW w:w="1440" w:type="dxa"/>
            <w:tcBorders>
              <w:top w:val="single" w:sz="4" w:space="0" w:color="000000"/>
              <w:left w:val="single" w:sz="4" w:space="0" w:color="000000"/>
              <w:bottom w:val="single" w:sz="4" w:space="0" w:color="000000"/>
              <w:right w:val="single" w:sz="4" w:space="0" w:color="000000"/>
            </w:tcBorders>
          </w:tcPr>
          <w:p w14:paraId="2C63516E" w14:textId="08B8608D" w:rsidR="00746790" w:rsidRPr="00FD1DC0" w:rsidRDefault="00FD62D1">
            <w:pPr>
              <w:spacing w:after="0" w:line="259" w:lineRule="auto"/>
              <w:ind w:left="0" w:right="56" w:firstLine="0"/>
              <w:jc w:val="center"/>
              <w:rPr>
                <w:lang w:val="es-BO"/>
              </w:rPr>
            </w:pPr>
            <w:r w:rsidRPr="00FD1DC0">
              <w:rPr>
                <w:sz w:val="20"/>
                <w:lang w:val="es-BO"/>
              </w:rPr>
              <w:t>0.34</w:t>
            </w:r>
            <w:r w:rsidR="00E9600B" w:rsidRPr="00FD1DC0">
              <w:rPr>
                <w:sz w:val="20"/>
                <w:lang w:val="es-BO"/>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937B3F6" w14:textId="37DCDEE9" w:rsidR="00746790" w:rsidRPr="00FD1DC0" w:rsidRDefault="00FD62D1">
            <w:pPr>
              <w:spacing w:after="0" w:line="259" w:lineRule="auto"/>
              <w:ind w:left="0" w:right="55" w:firstLine="0"/>
              <w:jc w:val="center"/>
              <w:rPr>
                <w:lang w:val="es-BO"/>
              </w:rPr>
            </w:pPr>
            <w:r w:rsidRPr="00FD1DC0">
              <w:rPr>
                <w:sz w:val="20"/>
                <w:lang w:val="es-BO"/>
              </w:rPr>
              <w:t>0.005</w:t>
            </w:r>
            <w:r w:rsidR="00E9600B" w:rsidRPr="00FD1DC0">
              <w:rPr>
                <w:sz w:val="20"/>
                <w:lang w:val="es-BO"/>
              </w:rPr>
              <w:t xml:space="preserve"> </w:t>
            </w:r>
          </w:p>
        </w:tc>
      </w:tr>
    </w:tbl>
    <w:p w14:paraId="4730C580"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62652974" w14:textId="6A7DC277" w:rsidR="00F33842" w:rsidRPr="00FD1DC0" w:rsidRDefault="00F33842" w:rsidP="00EE1332">
      <w:pPr>
        <w:autoSpaceDE w:val="0"/>
        <w:autoSpaceDN w:val="0"/>
        <w:adjustRightInd w:val="0"/>
        <w:spacing w:after="0" w:line="360" w:lineRule="auto"/>
        <w:ind w:left="0" w:right="0" w:firstLine="0"/>
        <w:rPr>
          <w:rFonts w:ascii="Times New Roman" w:eastAsia="Times New Roman" w:hAnsi="Times New Roman" w:cs="Times New Roman"/>
          <w:szCs w:val="24"/>
          <w:lang w:val="es-ES" w:eastAsia="es-ES"/>
        </w:rPr>
      </w:pPr>
      <w:r w:rsidRPr="00FD1DC0">
        <w:rPr>
          <w:rFonts w:ascii="Times New Roman" w:eastAsia="Times New Roman" w:hAnsi="Times New Roman" w:cs="Times New Roman"/>
          <w:szCs w:val="24"/>
          <w:lang w:val="es-ES" w:eastAsia="es-ES"/>
        </w:rPr>
        <w:t>Tal y como se observa, según los criterio</w:t>
      </w:r>
      <w:r w:rsidR="00AA6BD0" w:rsidRPr="00FD1DC0">
        <w:rPr>
          <w:rFonts w:ascii="Times New Roman" w:eastAsia="Times New Roman" w:hAnsi="Times New Roman" w:cs="Times New Roman"/>
          <w:szCs w:val="24"/>
          <w:lang w:val="es-ES" w:eastAsia="es-ES"/>
        </w:rPr>
        <w:t>s estadísticos no paramétricos Akaike y S</w:t>
      </w:r>
      <w:r w:rsidRPr="00FD1DC0">
        <w:rPr>
          <w:rFonts w:ascii="Times New Roman" w:eastAsia="Times New Roman" w:hAnsi="Times New Roman" w:cs="Times New Roman"/>
          <w:szCs w:val="24"/>
          <w:lang w:val="es-ES" w:eastAsia="es-ES"/>
        </w:rPr>
        <w:t>chwarz, los modelos con mejor ajuste dentro de la muestra en el cuad</w:t>
      </w:r>
      <w:r w:rsidR="00376AF2" w:rsidRPr="00FD1DC0">
        <w:rPr>
          <w:rFonts w:ascii="Times New Roman" w:eastAsia="Times New Roman" w:hAnsi="Times New Roman" w:cs="Times New Roman"/>
          <w:szCs w:val="24"/>
          <w:lang w:val="es-ES" w:eastAsia="es-ES"/>
        </w:rPr>
        <w:t>ro 4, es el modelo asimétrico TG</w:t>
      </w:r>
      <w:r w:rsidRPr="00FD1DC0">
        <w:rPr>
          <w:rFonts w:ascii="Times New Roman" w:eastAsia="Times New Roman" w:hAnsi="Times New Roman" w:cs="Times New Roman"/>
          <w:szCs w:val="24"/>
          <w:lang w:val="es-ES" w:eastAsia="es-ES"/>
        </w:rPr>
        <w:t xml:space="preserve">ARCH para México y el modelo </w:t>
      </w:r>
      <w:r w:rsidR="00376AF2" w:rsidRPr="00FD1DC0">
        <w:rPr>
          <w:rFonts w:ascii="Times New Roman" w:eastAsia="Times New Roman" w:hAnsi="Times New Roman" w:cs="Times New Roman"/>
          <w:szCs w:val="24"/>
          <w:lang w:val="es-ES" w:eastAsia="es-ES"/>
        </w:rPr>
        <w:t>asimétrico P</w:t>
      </w:r>
      <w:r w:rsidRPr="00FD1DC0">
        <w:rPr>
          <w:rFonts w:ascii="Times New Roman" w:eastAsia="Times New Roman" w:hAnsi="Times New Roman" w:cs="Times New Roman"/>
          <w:szCs w:val="24"/>
          <w:lang w:val="es-ES" w:eastAsia="es-ES"/>
        </w:rPr>
        <w:t xml:space="preserve">ARCH para Brasil. La diferencia entre los modelos </w:t>
      </w:r>
      <w:r w:rsidR="00376AF2" w:rsidRPr="00FD1DC0">
        <w:rPr>
          <w:rFonts w:ascii="Times New Roman" w:eastAsia="Times New Roman" w:hAnsi="Times New Roman" w:cs="Times New Roman"/>
          <w:szCs w:val="24"/>
          <w:lang w:val="es-ES" w:eastAsia="es-ES"/>
        </w:rPr>
        <w:t>T</w:t>
      </w:r>
      <w:r w:rsidRPr="00FD1DC0">
        <w:rPr>
          <w:rFonts w:ascii="Times New Roman" w:eastAsia="Times New Roman" w:hAnsi="Times New Roman" w:cs="Times New Roman"/>
          <w:szCs w:val="24"/>
          <w:lang w:val="es-ES" w:eastAsia="es-ES"/>
        </w:rPr>
        <w:t>GARCH (</w:t>
      </w:r>
      <w:r w:rsidR="00376AF2" w:rsidRPr="00FD1DC0">
        <w:rPr>
          <w:rFonts w:ascii="Times New Roman" w:eastAsia="Times New Roman" w:hAnsi="Times New Roman" w:cs="Times New Roman"/>
          <w:szCs w:val="24"/>
          <w:lang w:val="es-ES" w:eastAsia="es-ES"/>
        </w:rPr>
        <w:t>asimétrico) y el modelo P</w:t>
      </w:r>
      <w:r w:rsidRPr="00FD1DC0">
        <w:rPr>
          <w:rFonts w:ascii="Times New Roman" w:eastAsia="Times New Roman" w:hAnsi="Times New Roman" w:cs="Times New Roman"/>
          <w:szCs w:val="24"/>
          <w:lang w:val="es-ES" w:eastAsia="es-ES"/>
        </w:rPr>
        <w:t xml:space="preserve">ARCH (asimétrico), </w:t>
      </w:r>
      <w:r w:rsidRPr="00FD1DC0">
        <w:rPr>
          <w:rFonts w:ascii="Times New Roman" w:eastAsia="Arial Unicode MS" w:hAnsi="Times New Roman" w:cs="Times New Roman"/>
          <w:color w:val="auto"/>
          <w:szCs w:val="24"/>
          <w:lang w:val="es-MX" w:eastAsia="es-ES"/>
        </w:rPr>
        <w:t xml:space="preserve">se debe a que el </w:t>
      </w:r>
      <w:r w:rsidR="00376AF2" w:rsidRPr="00FD1DC0">
        <w:rPr>
          <w:rFonts w:ascii="Times New Roman" w:eastAsia="Arial Unicode MS" w:hAnsi="Times New Roman" w:cs="Times New Roman"/>
          <w:color w:val="auto"/>
          <w:szCs w:val="24"/>
          <w:lang w:val="es-MX" w:eastAsia="es-ES"/>
        </w:rPr>
        <w:t>T</w:t>
      </w:r>
      <w:r w:rsidRPr="00FD1DC0">
        <w:rPr>
          <w:rFonts w:ascii="Times New Roman" w:eastAsia="Arial Unicode MS" w:hAnsi="Times New Roman" w:cs="Times New Roman"/>
          <w:color w:val="auto"/>
          <w:szCs w:val="24"/>
          <w:lang w:val="es-MX" w:eastAsia="es-ES"/>
        </w:rPr>
        <w:t xml:space="preserve">GARCH </w:t>
      </w:r>
      <w:r w:rsidR="00376AF2" w:rsidRPr="00FD1DC0">
        <w:rPr>
          <w:rFonts w:ascii="Times New Roman" w:eastAsia="Arial Unicode MS" w:hAnsi="Times New Roman" w:cs="Times New Roman"/>
          <w:color w:val="auto"/>
          <w:szCs w:val="24"/>
          <w:lang w:val="es-MX" w:eastAsia="es-ES"/>
        </w:rPr>
        <w:t>toma en cuenta la posible existencia de a</w:t>
      </w:r>
      <w:r w:rsidRPr="00FD1DC0">
        <w:rPr>
          <w:rFonts w:ascii="Times New Roman" w:eastAsia="Arial Unicode MS" w:hAnsi="Times New Roman" w:cs="Times New Roman"/>
          <w:color w:val="auto"/>
          <w:szCs w:val="24"/>
          <w:lang w:val="es-MX" w:eastAsia="es-ES"/>
        </w:rPr>
        <w:t xml:space="preserve">simetría en los </w:t>
      </w:r>
      <w:r w:rsidR="00376AF2" w:rsidRPr="00FD1DC0">
        <w:rPr>
          <w:rFonts w:ascii="Times New Roman" w:eastAsia="Arial Unicode MS" w:hAnsi="Times New Roman" w:cs="Times New Roman"/>
          <w:color w:val="auto"/>
          <w:szCs w:val="24"/>
          <w:lang w:val="es-MX" w:eastAsia="es-ES"/>
        </w:rPr>
        <w:t>shocks del tipo de cambio real</w:t>
      </w:r>
      <w:r w:rsidRPr="00FD1DC0">
        <w:rPr>
          <w:rFonts w:ascii="Times New Roman" w:eastAsia="Arial Unicode MS" w:hAnsi="Times New Roman" w:cs="Times New Roman"/>
          <w:color w:val="auto"/>
          <w:szCs w:val="24"/>
          <w:lang w:val="es-MX" w:eastAsia="es-ES"/>
        </w:rPr>
        <w:t xml:space="preserve">. </w:t>
      </w:r>
    </w:p>
    <w:p w14:paraId="007DBDD7" w14:textId="7E578110" w:rsidR="005A7040" w:rsidRPr="00FD1DC0" w:rsidRDefault="00F33842" w:rsidP="00EE1332">
      <w:pPr>
        <w:autoSpaceDE w:val="0"/>
        <w:autoSpaceDN w:val="0"/>
        <w:adjustRightInd w:val="0"/>
        <w:spacing w:after="0" w:line="360" w:lineRule="auto"/>
        <w:ind w:left="0" w:right="0" w:firstLine="0"/>
        <w:rPr>
          <w:rFonts w:ascii="Times New Roman" w:hAnsi="Times New Roman" w:cs="Times New Roman"/>
          <w:b/>
          <w:sz w:val="20"/>
          <w:lang w:val="es-BO"/>
        </w:rPr>
      </w:pPr>
      <w:r w:rsidRPr="00FD1DC0">
        <w:rPr>
          <w:rFonts w:ascii="Times New Roman" w:eastAsia="Arial Unicode MS" w:hAnsi="Times New Roman" w:cs="Times New Roman"/>
          <w:color w:val="auto"/>
          <w:szCs w:val="24"/>
          <w:lang w:val="es-MX" w:eastAsia="es-ES"/>
        </w:rPr>
        <w:t>Por su parte, como se mencionó, lo</w:t>
      </w:r>
      <w:r w:rsidR="00376AF2" w:rsidRPr="00FD1DC0">
        <w:rPr>
          <w:rFonts w:ascii="Times New Roman" w:eastAsia="Arial Unicode MS" w:hAnsi="Times New Roman" w:cs="Times New Roman"/>
          <w:color w:val="auto"/>
          <w:szCs w:val="24"/>
          <w:lang w:val="es-MX" w:eastAsia="es-ES"/>
        </w:rPr>
        <w:t>s modelos asimétricos como el PARCH permite que la varianza condicional de los errores contenga información de</w:t>
      </w:r>
      <w:r w:rsidRPr="00FD1DC0">
        <w:rPr>
          <w:rFonts w:ascii="Times New Roman" w:eastAsia="Arial Unicode MS" w:hAnsi="Times New Roman" w:cs="Times New Roman"/>
          <w:color w:val="auto"/>
          <w:szCs w:val="24"/>
          <w:lang w:val="es-MX" w:eastAsia="es-ES"/>
        </w:rPr>
        <w:t xml:space="preserve"> la</w:t>
      </w:r>
      <w:r w:rsidR="00376AF2" w:rsidRPr="00FD1DC0">
        <w:rPr>
          <w:rFonts w:ascii="Times New Roman" w:eastAsia="Arial Unicode MS" w:hAnsi="Times New Roman" w:cs="Times New Roman"/>
          <w:color w:val="auto"/>
          <w:szCs w:val="24"/>
          <w:lang w:val="es-MX" w:eastAsia="es-ES"/>
        </w:rPr>
        <w:t xml:space="preserve"> po</w:t>
      </w:r>
      <w:r w:rsidR="00E0613B" w:rsidRPr="00FD1DC0">
        <w:rPr>
          <w:rFonts w:ascii="Times New Roman" w:eastAsia="Arial Unicode MS" w:hAnsi="Times New Roman" w:cs="Times New Roman"/>
          <w:color w:val="auto"/>
          <w:szCs w:val="24"/>
          <w:lang w:val="es-MX" w:eastAsia="es-ES"/>
        </w:rPr>
        <w:t>sible</w:t>
      </w:r>
      <w:r w:rsidRPr="00FD1DC0">
        <w:rPr>
          <w:rFonts w:ascii="Times New Roman" w:eastAsia="Arial Unicode MS" w:hAnsi="Times New Roman" w:cs="Times New Roman"/>
          <w:color w:val="auto"/>
          <w:szCs w:val="24"/>
          <w:lang w:val="es-MX" w:eastAsia="es-ES"/>
        </w:rPr>
        <w:t xml:space="preserve"> asimetría producida por el “efecto apalancamiento” al capturar el efecto más fuerte que tienen los rendimientos negativos en la volatilidad</w:t>
      </w:r>
      <w:r w:rsidR="00E0613B" w:rsidRPr="00FD1DC0">
        <w:rPr>
          <w:rFonts w:ascii="Times New Roman" w:eastAsia="Arial Unicode MS" w:hAnsi="Times New Roman" w:cs="Times New Roman"/>
          <w:color w:val="auto"/>
          <w:szCs w:val="24"/>
          <w:lang w:val="es-MX" w:eastAsia="es-ES"/>
        </w:rPr>
        <w:t xml:space="preserve"> en su respectiva potencia</w:t>
      </w:r>
      <w:r w:rsidRPr="00FD1DC0">
        <w:rPr>
          <w:rFonts w:ascii="Times New Roman" w:eastAsia="Arial Unicode MS" w:hAnsi="Times New Roman" w:cs="Times New Roman"/>
          <w:color w:val="auto"/>
          <w:szCs w:val="24"/>
          <w:lang w:val="es-MX" w:eastAsia="es-ES"/>
        </w:rPr>
        <w:t xml:space="preserve">. Por ejemplo, el modelo TGARCH o ARCH por umbrales de </w:t>
      </w:r>
      <w:r w:rsidR="00AA6BD0" w:rsidRPr="00FD1DC0">
        <w:rPr>
          <w:rFonts w:ascii="Times New Roman" w:eastAsia="Arial Unicode MS" w:hAnsi="Times New Roman" w:cs="Times New Roman"/>
          <w:color w:val="auto"/>
          <w:szCs w:val="24"/>
          <w:lang w:val="es-MX" w:eastAsia="es-ES"/>
        </w:rPr>
        <w:t xml:space="preserve">(Zakoian, </w:t>
      </w:r>
      <w:r w:rsidRPr="00FD1DC0">
        <w:rPr>
          <w:rFonts w:ascii="Times New Roman" w:eastAsia="Arial Unicode MS" w:hAnsi="Times New Roman" w:cs="Times New Roman"/>
          <w:color w:val="auto"/>
          <w:szCs w:val="24"/>
          <w:lang w:val="es-MX" w:eastAsia="es-ES"/>
        </w:rPr>
        <w:t xml:space="preserve">1990) y </w:t>
      </w:r>
      <w:r w:rsidR="00AA6BD0" w:rsidRPr="00FD1DC0">
        <w:rPr>
          <w:rFonts w:ascii="Times New Roman" w:eastAsia="Arial Unicode MS" w:hAnsi="Times New Roman" w:cs="Times New Roman"/>
          <w:color w:val="auto"/>
          <w:szCs w:val="24"/>
          <w:lang w:val="es-MX" w:eastAsia="es-ES"/>
        </w:rPr>
        <w:t xml:space="preserve">(Glosten, Jagannathan y Runkle, </w:t>
      </w:r>
      <w:r w:rsidRPr="00FD1DC0">
        <w:rPr>
          <w:rFonts w:ascii="Times New Roman" w:eastAsia="Arial Unicode MS" w:hAnsi="Times New Roman" w:cs="Times New Roman"/>
          <w:color w:val="auto"/>
          <w:szCs w:val="24"/>
          <w:lang w:val="es-MX" w:eastAsia="es-ES"/>
        </w:rPr>
        <w:t>1993).</w:t>
      </w:r>
      <w:r w:rsidR="00E9600B" w:rsidRPr="00FD1DC0">
        <w:rPr>
          <w:rFonts w:ascii="Times New Roman" w:hAnsi="Times New Roman" w:cs="Times New Roman"/>
          <w:b/>
          <w:sz w:val="20"/>
          <w:lang w:val="es-BO"/>
        </w:rPr>
        <w:t xml:space="preserve"> </w:t>
      </w:r>
    </w:p>
    <w:p w14:paraId="1149B2B8" w14:textId="77777777" w:rsidR="009D1B90" w:rsidRPr="00FD1DC0" w:rsidRDefault="009D1B90" w:rsidP="009D1B90">
      <w:pPr>
        <w:spacing w:after="4" w:line="250" w:lineRule="auto"/>
        <w:ind w:left="228" w:right="710"/>
        <w:jc w:val="center"/>
        <w:rPr>
          <w:b/>
          <w:sz w:val="20"/>
          <w:lang w:val="es-BO"/>
        </w:rPr>
      </w:pPr>
      <w:r w:rsidRPr="00FD1DC0">
        <w:rPr>
          <w:b/>
          <w:sz w:val="20"/>
          <w:lang w:val="es-BO"/>
        </w:rPr>
        <w:t>Gráfico 6</w:t>
      </w:r>
    </w:p>
    <w:p w14:paraId="5CC65662" w14:textId="735C5EEB" w:rsidR="009D1B90" w:rsidRPr="00FD1DC0" w:rsidRDefault="009D1B90" w:rsidP="009D1B90">
      <w:pPr>
        <w:spacing w:after="8" w:line="250" w:lineRule="auto"/>
        <w:ind w:left="96" w:right="158"/>
        <w:jc w:val="center"/>
        <w:rPr>
          <w:lang w:val="es-BO"/>
        </w:rPr>
      </w:pPr>
      <w:r w:rsidRPr="00FD1DC0">
        <w:rPr>
          <w:b/>
          <w:sz w:val="20"/>
          <w:lang w:val="es-BO"/>
        </w:rPr>
        <w:t xml:space="preserve">Volatilidad estocástica con los otros modelos </w:t>
      </w:r>
      <w:r w:rsidR="002F3BA1" w:rsidRPr="00FD1DC0">
        <w:rPr>
          <w:b/>
          <w:sz w:val="20"/>
          <w:lang w:val="es-BO"/>
        </w:rPr>
        <w:t>estocástica</w:t>
      </w:r>
      <w:r w:rsidRPr="00FD1DC0">
        <w:rPr>
          <w:b/>
          <w:sz w:val="20"/>
          <w:lang w:val="es-BO"/>
        </w:rPr>
        <w:t xml:space="preserve"> del tipo de cambio real en</w:t>
      </w:r>
    </w:p>
    <w:p w14:paraId="39351C9A" w14:textId="1B34B29F" w:rsidR="009D1B90" w:rsidRPr="00FD1DC0" w:rsidRDefault="009D1B90" w:rsidP="009D1B90">
      <w:pPr>
        <w:spacing w:after="4" w:line="250" w:lineRule="auto"/>
        <w:ind w:left="228" w:right="710"/>
        <w:jc w:val="center"/>
        <w:rPr>
          <w:b/>
          <w:sz w:val="20"/>
          <w:lang w:val="es-BO"/>
        </w:rPr>
      </w:pPr>
      <w:r w:rsidRPr="00FD1DC0">
        <w:rPr>
          <w:b/>
          <w:sz w:val="20"/>
          <w:szCs w:val="20"/>
          <w:lang w:val="es-BO"/>
        </w:rPr>
        <w:t>México (Izquierda) y Brasil (Derecha)</w:t>
      </w:r>
      <w:r w:rsidRPr="00FD1DC0">
        <w:rPr>
          <w:b/>
          <w:sz w:val="20"/>
          <w:lang w:val="es-BO"/>
        </w:rPr>
        <w:t xml:space="preserve"> </w:t>
      </w:r>
    </w:p>
    <w:p w14:paraId="40B8B6D6" w14:textId="2CFCB85A" w:rsidR="009D1B90" w:rsidRPr="00FD1DC0" w:rsidRDefault="009D1B90" w:rsidP="009D1B90">
      <w:pPr>
        <w:spacing w:after="4" w:line="250" w:lineRule="auto"/>
        <w:ind w:left="228" w:right="710"/>
        <w:jc w:val="center"/>
        <w:rPr>
          <w:lang w:val="es-BO"/>
        </w:rPr>
      </w:pPr>
      <w:r w:rsidRPr="00FD1DC0">
        <w:rPr>
          <w:noProof/>
        </w:rPr>
        <w:drawing>
          <wp:inline distT="0" distB="0" distL="0" distR="0" wp14:anchorId="2DCA9965" wp14:editId="2DE2E364">
            <wp:extent cx="5200650" cy="1638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0650" cy="1638300"/>
                    </a:xfrm>
                    <a:prstGeom prst="rect">
                      <a:avLst/>
                    </a:prstGeom>
                    <a:noFill/>
                    <a:ln>
                      <a:noFill/>
                    </a:ln>
                  </pic:spPr>
                </pic:pic>
              </a:graphicData>
            </a:graphic>
          </wp:inline>
        </w:drawing>
      </w:r>
    </w:p>
    <w:p w14:paraId="468A7262" w14:textId="77777777" w:rsidR="008402F7" w:rsidRPr="00FD1DC0" w:rsidRDefault="008402F7" w:rsidP="008402F7">
      <w:pPr>
        <w:spacing w:after="56" w:line="216" w:lineRule="auto"/>
        <w:ind w:left="3931" w:right="179" w:hanging="3752"/>
        <w:jc w:val="center"/>
        <w:rPr>
          <w:b/>
          <w:sz w:val="20"/>
          <w:lang w:val="es-BO"/>
        </w:rPr>
      </w:pPr>
      <w:r w:rsidRPr="00FD1DC0">
        <w:rPr>
          <w:b/>
          <w:sz w:val="16"/>
          <w:lang w:val="es-BO"/>
        </w:rPr>
        <w:t>Fuente: Elaboración propia</w:t>
      </w:r>
      <w:r w:rsidRPr="00FD1DC0">
        <w:rPr>
          <w:b/>
          <w:sz w:val="20"/>
          <w:lang w:val="es-BO"/>
        </w:rPr>
        <w:t xml:space="preserve"> </w:t>
      </w:r>
    </w:p>
    <w:p w14:paraId="645EE080" w14:textId="73221C21" w:rsidR="001645FF" w:rsidRPr="007B0CEC" w:rsidRDefault="00BA1BB4" w:rsidP="007B0CEC">
      <w:pPr>
        <w:autoSpaceDE w:val="0"/>
        <w:autoSpaceDN w:val="0"/>
        <w:adjustRightInd w:val="0"/>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En la gráfica 5 se puede advertir los distintos sucesos económicos y sociales que han provocado un alza y/o baja en la volatilidad del tipo de cambio real de México y Brasil con los modelos de volatilidad estocástica elegidos para ambos países de acuerdo a la minimización de los criterios estadísticos no paramétricos adecuados y en la gráfica 6 se puede visualizar los distintos gráficos de volatilidad del tipo de cambio real con los otros modelos de volatilidad estocástica</w:t>
      </w:r>
      <w:r w:rsidR="00207917" w:rsidRPr="00FD1DC0">
        <w:rPr>
          <w:rFonts w:ascii="Times New Roman" w:hAnsi="Times New Roman" w:cs="Times New Roman"/>
          <w:lang w:val="es-BO"/>
        </w:rPr>
        <w:t>, es bien claro en la misma que en ambos países se acentúa la mayor apreciación del tipo de cambio real y su respectiva volatilidad permanece controlada, con una leve inclinación a la baja a medida que pasa el horizonte de pronostico</w:t>
      </w:r>
      <w:r w:rsidRPr="00FD1DC0">
        <w:rPr>
          <w:rFonts w:ascii="Times New Roman" w:hAnsi="Times New Roman" w:cs="Times New Roman"/>
          <w:lang w:val="es-BO"/>
        </w:rPr>
        <w:t>. Un factor en común, es que es evidente la mayor apreciación del tipo de cambio real en ambos países, acentuándose en México después del 2003 y en el caso de Brasil después del 2008, la misma es acompañado por un comportamiento estable con tendencia hacia la baja de la volatilidad cambiaria real de ambos países.</w:t>
      </w:r>
      <w:r w:rsidR="00334AB4" w:rsidRPr="00FD1DC0">
        <w:rPr>
          <w:rFonts w:ascii="Times New Roman" w:hAnsi="Times New Roman" w:cs="Times New Roman"/>
          <w:lang w:val="es-BO"/>
        </w:rPr>
        <w:t xml:space="preserve"> Por otro lado, en la gráfica 7 se muestra de manera gráfica el comportamiento de los términos de perturbación de los modelos de volatilidad estocástica elegido. </w:t>
      </w:r>
    </w:p>
    <w:p w14:paraId="54A43F80" w14:textId="5E40508C" w:rsidR="00BA1BB4" w:rsidRPr="00FD1DC0" w:rsidRDefault="00BA1BB4" w:rsidP="00334AB4">
      <w:pPr>
        <w:autoSpaceDE w:val="0"/>
        <w:autoSpaceDN w:val="0"/>
        <w:adjustRightInd w:val="0"/>
        <w:spacing w:after="0" w:line="240" w:lineRule="auto"/>
        <w:ind w:left="62" w:right="539" w:hanging="11"/>
        <w:jc w:val="center"/>
        <w:rPr>
          <w:b/>
          <w:bCs/>
          <w:sz w:val="20"/>
          <w:szCs w:val="20"/>
          <w:lang w:val="es-BO"/>
        </w:rPr>
      </w:pPr>
      <w:r w:rsidRPr="00FD1DC0">
        <w:rPr>
          <w:b/>
          <w:bCs/>
          <w:sz w:val="20"/>
          <w:szCs w:val="20"/>
          <w:lang w:val="es-BO"/>
        </w:rPr>
        <w:t>Gráfica 7</w:t>
      </w:r>
    </w:p>
    <w:p w14:paraId="3A9A0B00" w14:textId="46E5FC7B" w:rsidR="00BA1BB4" w:rsidRPr="00FD1DC0" w:rsidRDefault="00BA1BB4" w:rsidP="00334AB4">
      <w:pPr>
        <w:autoSpaceDE w:val="0"/>
        <w:autoSpaceDN w:val="0"/>
        <w:adjustRightInd w:val="0"/>
        <w:spacing w:after="0" w:line="240" w:lineRule="auto"/>
        <w:ind w:left="62" w:right="539" w:hanging="11"/>
        <w:jc w:val="center"/>
        <w:rPr>
          <w:rFonts w:eastAsia="TimesNewRomanPSMT"/>
          <w:sz w:val="20"/>
          <w:szCs w:val="20"/>
          <w:lang w:val="es-BO"/>
        </w:rPr>
      </w:pPr>
      <w:r w:rsidRPr="00FD1DC0">
        <w:rPr>
          <w:b/>
          <w:bCs/>
          <w:sz w:val="20"/>
          <w:szCs w:val="20"/>
          <w:lang w:val="es-BO"/>
        </w:rPr>
        <w:t xml:space="preserve">Predicción de errores (arriba izquierda); estimación de Kernell (arriba derecha); función de autocorrelación (abajo izquierda); función de autocorrelación parcial (abajo izquierda) y densidad espectral (abajo derecha) de </w:t>
      </w:r>
      <w:r w:rsidR="00334AB4" w:rsidRPr="00FD1DC0">
        <w:rPr>
          <w:b/>
          <w:bCs/>
          <w:sz w:val="20"/>
          <w:szCs w:val="20"/>
          <w:lang w:val="es-BO"/>
        </w:rPr>
        <w:t>los modelos de volatilidad del tipo de cambio real</w:t>
      </w:r>
    </w:p>
    <w:p w14:paraId="42A4D6D1" w14:textId="1E9DA113" w:rsidR="00BA1BB4" w:rsidRPr="00FD1DC0" w:rsidRDefault="00BA1BB4" w:rsidP="00334AB4">
      <w:pPr>
        <w:autoSpaceDE w:val="0"/>
        <w:autoSpaceDN w:val="0"/>
        <w:adjustRightInd w:val="0"/>
        <w:spacing w:after="0" w:line="240" w:lineRule="auto"/>
        <w:jc w:val="center"/>
      </w:pPr>
      <w:r w:rsidRPr="00FD1DC0">
        <w:rPr>
          <w:noProof/>
        </w:rPr>
        <w:drawing>
          <wp:inline distT="0" distB="0" distL="0" distR="0" wp14:anchorId="59089DC9" wp14:editId="3E688C71">
            <wp:extent cx="4927600" cy="2228850"/>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7600" cy="2228850"/>
                    </a:xfrm>
                    <a:prstGeom prst="rect">
                      <a:avLst/>
                    </a:prstGeom>
                    <a:noFill/>
                    <a:ln>
                      <a:noFill/>
                    </a:ln>
                  </pic:spPr>
                </pic:pic>
              </a:graphicData>
            </a:graphic>
          </wp:inline>
        </w:drawing>
      </w:r>
    </w:p>
    <w:p w14:paraId="1A965E69" w14:textId="09DEA8CB" w:rsidR="009D1B90" w:rsidRPr="00FD1DC0" w:rsidRDefault="006050CF" w:rsidP="006050CF">
      <w:pPr>
        <w:autoSpaceDE w:val="0"/>
        <w:autoSpaceDN w:val="0"/>
        <w:adjustRightInd w:val="0"/>
        <w:spacing w:after="0" w:line="240" w:lineRule="auto"/>
        <w:ind w:firstLine="709"/>
        <w:jc w:val="center"/>
        <w:rPr>
          <w:b/>
          <w:bCs/>
          <w:sz w:val="16"/>
          <w:szCs w:val="16"/>
          <w:lang w:val="es-BO"/>
        </w:rPr>
      </w:pPr>
      <w:r w:rsidRPr="00FD1DC0">
        <w:rPr>
          <w:b/>
          <w:sz w:val="16"/>
          <w:lang w:val="es-BO"/>
        </w:rPr>
        <w:t xml:space="preserve">Fuente: </w:t>
      </w:r>
      <w:r w:rsidR="00BA1BB4" w:rsidRPr="00FD1DC0">
        <w:rPr>
          <w:b/>
          <w:bCs/>
          <w:sz w:val="16"/>
          <w:szCs w:val="16"/>
          <w:lang w:val="es-BO"/>
        </w:rPr>
        <w:t>E</w:t>
      </w:r>
      <w:r w:rsidRPr="00FD1DC0">
        <w:rPr>
          <w:b/>
          <w:bCs/>
          <w:sz w:val="16"/>
          <w:szCs w:val="16"/>
          <w:lang w:val="es-BO"/>
        </w:rPr>
        <w:t xml:space="preserve">laboración propia </w:t>
      </w:r>
    </w:p>
    <w:p w14:paraId="5E09FC71" w14:textId="78E357F5" w:rsidR="00746790" w:rsidRPr="00FD1DC0" w:rsidRDefault="00334AB4"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P</w:t>
      </w:r>
      <w:r w:rsidR="00E9600B" w:rsidRPr="00FD1DC0">
        <w:rPr>
          <w:rFonts w:ascii="Times New Roman" w:hAnsi="Times New Roman" w:cs="Times New Roman"/>
          <w:lang w:val="es-BO"/>
        </w:rPr>
        <w:t xml:space="preserve">or ejemplo, tenemos el caso de la crisis del tequila, que debido a los hechos políticos, sociales y económicos asociados a 1994, dieron lugar a una triple crisis, es decir, a una crisis financiera, cambiaría y bancaria para fines de 1994. Un común denominador para la crisis de ese año, es que se debió fundamentalmente al mantenimiento de </w:t>
      </w:r>
      <w:r w:rsidR="00F33842" w:rsidRPr="00FD1DC0">
        <w:rPr>
          <w:rFonts w:ascii="Times New Roman" w:hAnsi="Times New Roman" w:cs="Times New Roman"/>
          <w:lang w:val="es-BO"/>
        </w:rPr>
        <w:t>un ancla</w:t>
      </w:r>
      <w:r w:rsidR="00E9600B" w:rsidRPr="00FD1DC0">
        <w:rPr>
          <w:rFonts w:ascii="Times New Roman" w:hAnsi="Times New Roman" w:cs="Times New Roman"/>
          <w:lang w:val="es-BO"/>
        </w:rPr>
        <w:t xml:space="preserve"> cambiaría que sobrevalúo en demasía la moneda, </w:t>
      </w:r>
      <w:r w:rsidR="00AA6BD0" w:rsidRPr="00FD1DC0">
        <w:rPr>
          <w:rFonts w:ascii="Times New Roman" w:hAnsi="Times New Roman" w:cs="Times New Roman"/>
          <w:lang w:val="es-BO"/>
        </w:rPr>
        <w:t xml:space="preserve">(Mántey, </w:t>
      </w:r>
      <w:r w:rsidR="00E9600B" w:rsidRPr="00FD1DC0">
        <w:rPr>
          <w:rFonts w:ascii="Times New Roman" w:hAnsi="Times New Roman" w:cs="Times New Roman"/>
          <w:lang w:val="es-BO"/>
        </w:rPr>
        <w:t>2009). Por lo mismo para diciembre de 1994 se vino la devaluación del peso mexicano y ello aunado a los bajos niveles de reservas internacionales y la creciente movilidad de los flujos internacionales de capital que sucedía alrededor de 1994, las autoridades monetarias de México estaban viendo conveniente trabajar sobre la base de un régimen de flotación libre y el génesis del marco de política monetaria de metas explicitas de inflación. Asimismo, a finales de diciembre de 1994 el tipo de cambio se comportó de manera muy volátil, dado que en noviembre se mantenía en 3.4386 pesos por dólar y finaliza el año con 4.9950 pesos por dólar, con una devaluación de 45.37% respecto al mes anterior. Mientras que en el mes de enero de 1995 alcanzó un valor de 5.90 pesos por dólar, en ese momento su devaluación fue de 89.99% respecto al año anterior (Banxico, 1994).</w:t>
      </w:r>
      <w:r w:rsidR="00E9600B" w:rsidRPr="00FD1DC0">
        <w:rPr>
          <w:rFonts w:ascii="Times New Roman" w:hAnsi="Times New Roman" w:cs="Times New Roman"/>
          <w:vertAlign w:val="superscript"/>
        </w:rPr>
        <w:footnoteReference w:id="9"/>
      </w:r>
      <w:r w:rsidR="00E9600B" w:rsidRPr="00FD1DC0">
        <w:rPr>
          <w:rFonts w:ascii="Times New Roman" w:hAnsi="Times New Roman" w:cs="Times New Roman"/>
          <w:lang w:val="es-BO"/>
        </w:rPr>
        <w:t xml:space="preserve"> </w:t>
      </w:r>
    </w:p>
    <w:p w14:paraId="402661ED" w14:textId="53D8672F" w:rsidR="00746790" w:rsidRPr="00FD1DC0" w:rsidRDefault="00813E45"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Asimismo,</w:t>
      </w:r>
      <w:r w:rsidR="00E9600B" w:rsidRPr="00FD1DC0">
        <w:rPr>
          <w:rFonts w:ascii="Times New Roman" w:hAnsi="Times New Roman" w:cs="Times New Roman"/>
          <w:lang w:val="es-BO"/>
        </w:rPr>
        <w:t xml:space="preserve"> tenemos otros periodos de volatilidad para la última década del siglo XX, por ejemplo, el de los años 1997, 1998 y 1999, que las mismas pueden atribuirse a la crisis de los tigres asiáticos sucedido a mediados de 1997, a la crisis de la deuda rusa en 1998 y el efecto samba (crisis del real brasileño) en 1999. Por otro lado, los periodos de alta volatilidad </w:t>
      </w:r>
      <w:r w:rsidR="00B33977" w:rsidRPr="00FD1DC0">
        <w:rPr>
          <w:rFonts w:ascii="Times New Roman" w:hAnsi="Times New Roman" w:cs="Times New Roman"/>
          <w:lang w:val="es-BO"/>
        </w:rPr>
        <w:t xml:space="preserve">en los </w:t>
      </w:r>
      <w:r w:rsidR="00E9600B" w:rsidRPr="00FD1DC0">
        <w:rPr>
          <w:rFonts w:ascii="Times New Roman" w:hAnsi="Times New Roman" w:cs="Times New Roman"/>
          <w:lang w:val="es-BO"/>
        </w:rPr>
        <w:t xml:space="preserve">años 2000 y 2001, pueden deberse en gran medida, a la desaceleración de la economía americana (recesión) a través del denominado </w:t>
      </w:r>
      <w:r w:rsidR="00E9600B" w:rsidRPr="00FD1DC0">
        <w:rPr>
          <w:rFonts w:ascii="Times New Roman" w:hAnsi="Times New Roman" w:cs="Times New Roman"/>
          <w:i/>
          <w:lang w:val="es-BO"/>
        </w:rPr>
        <w:t>crisis de las empresas punto com</w:t>
      </w:r>
      <w:r w:rsidR="00E9600B" w:rsidRPr="00FD1DC0">
        <w:rPr>
          <w:rFonts w:ascii="Times New Roman" w:hAnsi="Times New Roman" w:cs="Times New Roman"/>
          <w:lang w:val="es-BO"/>
        </w:rPr>
        <w:t xml:space="preserve"> y el efecto adverso que tuvo la misma sobre variables reales, generando incertidumbre. También, se puede advertir que los años 2005, 2006 y 2007 son periodos de volatilidad controlada. </w:t>
      </w:r>
    </w:p>
    <w:p w14:paraId="36412917" w14:textId="0C770B9E" w:rsidR="003305E1" w:rsidRPr="00FD1DC0" w:rsidRDefault="00E9600B" w:rsidP="00377A61">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Nuevamente para mediados del 2008, 2009 y 2010 se observan agrupamientos de una elevada volatilidad cambiaria, la génesis de la misma es la crisis de las hipotecas </w:t>
      </w:r>
      <w:r w:rsidRPr="00FD1DC0">
        <w:rPr>
          <w:rFonts w:ascii="Times New Roman" w:hAnsi="Times New Roman" w:cs="Times New Roman"/>
          <w:i/>
          <w:lang w:val="es-BO"/>
        </w:rPr>
        <w:t xml:space="preserve">subprime </w:t>
      </w:r>
      <w:r w:rsidRPr="00FD1DC0">
        <w:rPr>
          <w:rFonts w:ascii="Times New Roman" w:hAnsi="Times New Roman" w:cs="Times New Roman"/>
          <w:lang w:val="es-BO"/>
        </w:rPr>
        <w:t>que se inició en Estados Unidos y que contagio a una buena parte de países a nivel mundial. Aunado la crisis griega del 2010 termina provocando incertidumbre en el ritmo de depreciación cambiaria acompañado de una elevada volatilidad. Por el lado del mercado financiero mexicano, los flujos de capital se contrajeron de forma significativa, y la misma dio lugar a una alta volatilidad del tipo de cambio</w:t>
      </w:r>
      <w:r w:rsidRPr="00FD1DC0">
        <w:rPr>
          <w:rFonts w:ascii="Times New Roman" w:hAnsi="Times New Roman" w:cs="Times New Roman"/>
          <w:vertAlign w:val="superscript"/>
        </w:rPr>
        <w:footnoteReference w:id="10"/>
      </w:r>
      <w:r w:rsidRPr="00FD1DC0">
        <w:rPr>
          <w:rFonts w:ascii="Times New Roman" w:hAnsi="Times New Roman" w:cs="Times New Roman"/>
          <w:lang w:val="es-BO"/>
        </w:rPr>
        <w:t xml:space="preserve">. Teniendo en consideración los riesgos que, para la estabilidad del sistema financiero, tiene un mercado cambiario altamente volátil, la Comisión de Cambios en México llevó a cabo diversas acciones para proveer de liquidez al mercado cambiario, y de esta manera asegurar su buen funcionamiento. Por último, la agudización de los problemas financieros en la Zona Euro y el deterioro de las expectativas de crecimiento para la economía mundial generaron, de nueva cuenta, presiones sobre el tipo de cambio en los últimos meses del 2011 y el segundo trimestre del 2012, por lo mismo la moneda mexicana se </w:t>
      </w:r>
      <w:r w:rsidR="00536478" w:rsidRPr="00FD1DC0">
        <w:rPr>
          <w:rFonts w:ascii="Times New Roman" w:hAnsi="Times New Roman" w:cs="Times New Roman"/>
          <w:lang w:val="es-BO"/>
        </w:rPr>
        <w:t>ubicó por</w:t>
      </w:r>
      <w:r w:rsidRPr="00FD1DC0">
        <w:rPr>
          <w:rFonts w:ascii="Times New Roman" w:hAnsi="Times New Roman" w:cs="Times New Roman"/>
          <w:lang w:val="es-BO"/>
        </w:rPr>
        <w:t xml:space="preserve"> encima de los 14.0 pesos por dólar. Por lo mismo, como se ha documentado en la literatura, el exceso de volatilidad del tipo de cambio genera incertidumbre, lo que va en desmedro en la toma de decisiones vinculados con el comercio y la inversión, al crear riesgos para las empresas e individuos en el sector privado, Benavides y Capistrán (2009). Asimismo, en países subdesarrollados, se ha verificado que mantener tipos de cambio en desequilibrio da lugar a fuertes deva</w:t>
      </w:r>
      <w:r w:rsidR="004C6E2F" w:rsidRPr="00FD1DC0">
        <w:rPr>
          <w:rFonts w:ascii="Times New Roman" w:hAnsi="Times New Roman" w:cs="Times New Roman"/>
          <w:lang w:val="es-BO"/>
        </w:rPr>
        <w:t xml:space="preserve">luaciones. </w:t>
      </w:r>
    </w:p>
    <w:p w14:paraId="21BCAEFB" w14:textId="3EBFCDC0" w:rsidR="00967680" w:rsidRPr="00FD1DC0" w:rsidRDefault="00967680" w:rsidP="00250568">
      <w:pPr>
        <w:spacing w:after="0" w:line="360" w:lineRule="auto"/>
        <w:ind w:left="62" w:right="533" w:hanging="11"/>
        <w:rPr>
          <w:rFonts w:ascii="Times New Roman" w:hAnsi="Times New Roman" w:cs="Times New Roman"/>
          <w:lang w:val="es-BO"/>
        </w:rPr>
      </w:pPr>
      <w:r w:rsidRPr="00FD1DC0">
        <w:rPr>
          <w:rFonts w:ascii="Times New Roman" w:hAnsi="Times New Roman" w:cs="Times New Roman"/>
          <w:lang w:val="es-BO"/>
        </w:rPr>
        <w:t>Asimismo, tras la crisis financiera estadounidense los flujos de capital a las economías emergentes se acentuaron</w:t>
      </w:r>
      <w:r w:rsidR="00377A61" w:rsidRPr="00FD1DC0">
        <w:rPr>
          <w:rFonts w:ascii="Times New Roman" w:hAnsi="Times New Roman" w:cs="Times New Roman"/>
          <w:lang w:val="es-BO"/>
        </w:rPr>
        <w:t>. En esa línea</w:t>
      </w:r>
      <w:r w:rsidRPr="00FD1DC0">
        <w:rPr>
          <w:rFonts w:ascii="Times New Roman" w:hAnsi="Times New Roman" w:cs="Times New Roman"/>
          <w:lang w:val="es-BO"/>
        </w:rPr>
        <w:t>, sus tipos de cambio se apreciaron durante 2010 y 2011, e incluso</w:t>
      </w:r>
      <w:r w:rsidR="00377A61" w:rsidRPr="00FD1DC0">
        <w:rPr>
          <w:rFonts w:ascii="Times New Roman" w:hAnsi="Times New Roman" w:cs="Times New Roman"/>
          <w:lang w:val="es-BO"/>
        </w:rPr>
        <w:t xml:space="preserve"> en México</w:t>
      </w:r>
      <w:r w:rsidRPr="00FD1DC0">
        <w:rPr>
          <w:rFonts w:ascii="Times New Roman" w:hAnsi="Times New Roman" w:cs="Times New Roman"/>
          <w:lang w:val="es-BO"/>
        </w:rPr>
        <w:t xml:space="preserve"> durante </w:t>
      </w:r>
      <w:r w:rsidR="00377A61" w:rsidRPr="00FD1DC0">
        <w:rPr>
          <w:rFonts w:ascii="Times New Roman" w:hAnsi="Times New Roman" w:cs="Times New Roman"/>
          <w:lang w:val="es-BO"/>
        </w:rPr>
        <w:t xml:space="preserve">el </w:t>
      </w:r>
      <w:r w:rsidRPr="00FD1DC0">
        <w:rPr>
          <w:rFonts w:ascii="Times New Roman" w:hAnsi="Times New Roman" w:cs="Times New Roman"/>
          <w:lang w:val="es-BO"/>
        </w:rPr>
        <w:t>2</w:t>
      </w:r>
      <w:r w:rsidR="00377A61" w:rsidRPr="00FD1DC0">
        <w:rPr>
          <w:rFonts w:ascii="Times New Roman" w:hAnsi="Times New Roman" w:cs="Times New Roman"/>
          <w:lang w:val="es-BO"/>
        </w:rPr>
        <w:t>013</w:t>
      </w:r>
      <w:r w:rsidRPr="00FD1DC0">
        <w:rPr>
          <w:rFonts w:ascii="Times New Roman" w:hAnsi="Times New Roman" w:cs="Times New Roman"/>
          <w:lang w:val="es-BO"/>
        </w:rPr>
        <w:t>. No obstante, la normalización en la política monetaria estadounidense ha traído consigo períodos de continua volatilidad financiera</w:t>
      </w:r>
      <w:r w:rsidR="00377A61" w:rsidRPr="00FD1DC0">
        <w:rPr>
          <w:rFonts w:ascii="Times New Roman" w:hAnsi="Times New Roman" w:cs="Times New Roman"/>
          <w:lang w:val="es-BO"/>
        </w:rPr>
        <w:t xml:space="preserve"> internacional en determinados periodos, aunado a la posibilidad de que el tratado de libre comercio de América del Norte en ese entonces pueda ser renegociado, así como la vulnerabilidad de las finanzas públicas de México y el débil crecimiento económico, entre otras cosas, han afectado de forma especial al peso. En esa línea, al cierre de 2016, el real brasileño se había apreciado frente al dólar estadounidense un 17.8% respecto del cierre del año previo y el rand sudafricano lo hacía en 11.4%, en tanto, el peso mexicano retrocedía 19.9 por ciento.</w:t>
      </w:r>
    </w:p>
    <w:p w14:paraId="1C0513FA" w14:textId="3437A325" w:rsidR="00967680" w:rsidRPr="00FD1DC0" w:rsidRDefault="00967680" w:rsidP="00647926">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Ante la volatilidad cambiaria, el 17 de febrero de 2016, el Banco de México (Banxico) incrementó 50 puntos</w:t>
      </w:r>
      <w:r w:rsidR="00377A61" w:rsidRPr="00FD1DC0">
        <w:rPr>
          <w:rFonts w:ascii="Times New Roman" w:hAnsi="Times New Roman" w:cs="Times New Roman"/>
          <w:lang w:val="es-BO"/>
        </w:rPr>
        <w:t xml:space="preserve"> base </w:t>
      </w:r>
      <w:r w:rsidRPr="00FD1DC0">
        <w:rPr>
          <w:rFonts w:ascii="Times New Roman" w:hAnsi="Times New Roman" w:cs="Times New Roman"/>
          <w:lang w:val="es-BO"/>
        </w:rPr>
        <w:t xml:space="preserve">su tasa de interés de referencia para ubicarla en 3.75%. Asimismo, suspendió los mecanismos vigentes de subastas de dólares. </w:t>
      </w:r>
      <w:r w:rsidR="00377A61" w:rsidRPr="00FD1DC0">
        <w:rPr>
          <w:rFonts w:ascii="Times New Roman" w:hAnsi="Times New Roman" w:cs="Times New Roman"/>
          <w:lang w:val="es-BO"/>
        </w:rPr>
        <w:t>La autoridad monetaria mexicana</w:t>
      </w:r>
      <w:r w:rsidRPr="00FD1DC0">
        <w:rPr>
          <w:rFonts w:ascii="Times New Roman" w:hAnsi="Times New Roman" w:cs="Times New Roman"/>
          <w:lang w:val="es-BO"/>
        </w:rPr>
        <w:t xml:space="preserve"> argumentó que el entorno externo que enfrentaba el país se había deteriorado afectando con </w:t>
      </w:r>
      <w:r w:rsidR="00377A61" w:rsidRPr="00FD1DC0">
        <w:rPr>
          <w:rFonts w:ascii="Times New Roman" w:hAnsi="Times New Roman" w:cs="Times New Roman"/>
          <w:lang w:val="es-BO"/>
        </w:rPr>
        <w:t xml:space="preserve">ello las finanzas públicas y un deterioro de la </w:t>
      </w:r>
      <w:r w:rsidRPr="00FD1DC0">
        <w:rPr>
          <w:rFonts w:ascii="Times New Roman" w:hAnsi="Times New Roman" w:cs="Times New Roman"/>
          <w:lang w:val="es-BO"/>
        </w:rPr>
        <w:t>cuenta corriente.</w:t>
      </w:r>
    </w:p>
    <w:p w14:paraId="4D16247F" w14:textId="1A877FD9" w:rsidR="003305E1" w:rsidRPr="00FD1DC0" w:rsidRDefault="00377A61" w:rsidP="00955579">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Asimismo, la autoridad monetaria de México, acepto en ese entonces</w:t>
      </w:r>
      <w:r w:rsidR="00967680" w:rsidRPr="00FD1DC0">
        <w:rPr>
          <w:rFonts w:ascii="Times New Roman" w:hAnsi="Times New Roman" w:cs="Times New Roman"/>
          <w:lang w:val="es-BO"/>
        </w:rPr>
        <w:t xml:space="preserve"> que la prob</w:t>
      </w:r>
      <w:r w:rsidRPr="00FD1DC0">
        <w:rPr>
          <w:rFonts w:ascii="Times New Roman" w:hAnsi="Times New Roman" w:cs="Times New Roman"/>
          <w:lang w:val="es-BO"/>
        </w:rPr>
        <w:t>abilidad de que la esperanza futura de la inflación no estuviese</w:t>
      </w:r>
      <w:r w:rsidR="00967680" w:rsidRPr="00FD1DC0">
        <w:rPr>
          <w:rFonts w:ascii="Times New Roman" w:hAnsi="Times New Roman" w:cs="Times New Roman"/>
          <w:lang w:val="es-BO"/>
        </w:rPr>
        <w:t xml:space="preserve"> </w:t>
      </w:r>
      <w:r w:rsidRPr="00FD1DC0">
        <w:rPr>
          <w:rFonts w:ascii="Times New Roman" w:hAnsi="Times New Roman" w:cs="Times New Roman"/>
          <w:lang w:val="es-BO"/>
        </w:rPr>
        <w:t>alineada</w:t>
      </w:r>
      <w:r w:rsidR="00967680" w:rsidRPr="00FD1DC0">
        <w:rPr>
          <w:rFonts w:ascii="Times New Roman" w:hAnsi="Times New Roman" w:cs="Times New Roman"/>
          <w:lang w:val="es-BO"/>
        </w:rPr>
        <w:t xml:space="preserve"> con su </w:t>
      </w:r>
      <w:r w:rsidRPr="00FD1DC0">
        <w:rPr>
          <w:rFonts w:ascii="Times New Roman" w:hAnsi="Times New Roman" w:cs="Times New Roman"/>
          <w:lang w:val="es-BO"/>
        </w:rPr>
        <w:t xml:space="preserve">meta </w:t>
      </w:r>
      <w:r w:rsidR="00967680" w:rsidRPr="00FD1DC0">
        <w:rPr>
          <w:rFonts w:ascii="Times New Roman" w:hAnsi="Times New Roman" w:cs="Times New Roman"/>
          <w:lang w:val="es-BO"/>
        </w:rPr>
        <w:t xml:space="preserve">que se había elevado, por lo cual </w:t>
      </w:r>
      <w:r w:rsidRPr="00FD1DC0">
        <w:rPr>
          <w:rFonts w:ascii="Times New Roman" w:hAnsi="Times New Roman" w:cs="Times New Roman"/>
          <w:lang w:val="es-BO"/>
        </w:rPr>
        <w:t xml:space="preserve">se aceptó aumentar la </w:t>
      </w:r>
      <w:r w:rsidR="00967680" w:rsidRPr="00FD1DC0">
        <w:rPr>
          <w:rFonts w:ascii="Times New Roman" w:hAnsi="Times New Roman" w:cs="Times New Roman"/>
          <w:lang w:val="es-BO"/>
        </w:rPr>
        <w:t>tasa de interés</w:t>
      </w:r>
      <w:r w:rsidRPr="00FD1DC0">
        <w:rPr>
          <w:rFonts w:ascii="Times New Roman" w:hAnsi="Times New Roman" w:cs="Times New Roman"/>
          <w:lang w:val="es-BO"/>
        </w:rPr>
        <w:t xml:space="preserve"> de política monetaria de México</w:t>
      </w:r>
      <w:r w:rsidR="00967680" w:rsidRPr="00FD1DC0">
        <w:rPr>
          <w:rFonts w:ascii="Times New Roman" w:hAnsi="Times New Roman" w:cs="Times New Roman"/>
          <w:lang w:val="es-BO"/>
        </w:rPr>
        <w:t>. También explicó que esa medida no implicaba un ciclo de incrementos continuos en su tasa, pero que estaría atento a los determinantes de la inflación de corto y mediano plazos, al tipo de cambio y a su posible traspaso a los precios, a la política monetaria de Estados Unidos y a la evolución de la brecha del producto</w:t>
      </w:r>
      <w:r w:rsidR="00647926" w:rsidRPr="00FD1DC0">
        <w:rPr>
          <w:rFonts w:ascii="Times New Roman" w:hAnsi="Times New Roman" w:cs="Times New Roman"/>
          <w:lang w:val="es-BO"/>
        </w:rPr>
        <w:t xml:space="preserve"> (Banxico, 2018)</w:t>
      </w:r>
      <w:r w:rsidR="00967680" w:rsidRPr="00FD1DC0">
        <w:rPr>
          <w:rFonts w:ascii="Times New Roman" w:hAnsi="Times New Roman" w:cs="Times New Roman"/>
          <w:lang w:val="es-BO"/>
        </w:rPr>
        <w:t xml:space="preserve">. </w:t>
      </w:r>
    </w:p>
    <w:p w14:paraId="1B87AA00" w14:textId="6E6D7B9E" w:rsidR="00746790" w:rsidRPr="00FD1DC0" w:rsidRDefault="004C6E2F" w:rsidP="00955579">
      <w:pPr>
        <w:spacing w:after="0" w:line="360" w:lineRule="auto"/>
        <w:ind w:right="533"/>
        <w:rPr>
          <w:rFonts w:ascii="Times New Roman" w:hAnsi="Times New Roman" w:cs="Times New Roman"/>
          <w:lang w:val="es-BO"/>
        </w:rPr>
      </w:pPr>
      <w:r w:rsidRPr="00FD1DC0">
        <w:rPr>
          <w:rFonts w:ascii="Times New Roman" w:hAnsi="Times New Roman" w:cs="Times New Roman"/>
          <w:lang w:val="es-BO"/>
        </w:rPr>
        <w:t>Ahora con relación a</w:t>
      </w:r>
      <w:r w:rsidR="00E9600B" w:rsidRPr="00FD1DC0">
        <w:rPr>
          <w:rFonts w:ascii="Times New Roman" w:hAnsi="Times New Roman" w:cs="Times New Roman"/>
          <w:lang w:val="es-BO"/>
        </w:rPr>
        <w:t>l caso de Brasil se puede advertir los distintos sucesos económicos y sociales que han provocado un alza y/o baja en la volatilidad cambiaría</w:t>
      </w:r>
      <w:r w:rsidR="00955579" w:rsidRPr="00FD1DC0">
        <w:rPr>
          <w:rFonts w:ascii="Times New Roman" w:hAnsi="Times New Roman" w:cs="Times New Roman"/>
          <w:lang w:val="es-BO"/>
        </w:rPr>
        <w:t xml:space="preserve"> real de Brasil. T</w:t>
      </w:r>
      <w:r w:rsidR="00E9600B" w:rsidRPr="00FD1DC0">
        <w:rPr>
          <w:rFonts w:ascii="Times New Roman" w:hAnsi="Times New Roman" w:cs="Times New Roman"/>
          <w:lang w:val="es-BO"/>
        </w:rPr>
        <w:t xml:space="preserve">enemos </w:t>
      </w:r>
      <w:r w:rsidR="00955579" w:rsidRPr="00FD1DC0">
        <w:rPr>
          <w:rFonts w:ascii="Times New Roman" w:hAnsi="Times New Roman" w:cs="Times New Roman"/>
          <w:lang w:val="es-BO"/>
        </w:rPr>
        <w:t>el de los años 1997 y 1998</w:t>
      </w:r>
      <w:r w:rsidR="00E9600B" w:rsidRPr="00FD1DC0">
        <w:rPr>
          <w:rFonts w:ascii="Times New Roman" w:hAnsi="Times New Roman" w:cs="Times New Roman"/>
          <w:lang w:val="es-BO"/>
        </w:rPr>
        <w:t xml:space="preserve">, que las mismas pueden atribuirse a la crisis de los tigres asiáticos sucedido a mediados de 1997, a la crisis de la deuda rusa en 1998 y el efecto samba (crisis del real brasileño) en 1999, y se puede advertir como estas tres crisis están interrelacionados entre </w:t>
      </w:r>
      <w:r w:rsidR="00B33977" w:rsidRPr="00FD1DC0">
        <w:rPr>
          <w:rFonts w:ascii="Times New Roman" w:hAnsi="Times New Roman" w:cs="Times New Roman"/>
          <w:lang w:val="es-BO"/>
        </w:rPr>
        <w:t>sí</w:t>
      </w:r>
      <w:r w:rsidR="00E9600B" w:rsidRPr="00FD1DC0">
        <w:rPr>
          <w:rFonts w:ascii="Times New Roman" w:hAnsi="Times New Roman" w:cs="Times New Roman"/>
          <w:lang w:val="es-BO"/>
        </w:rPr>
        <w:t xml:space="preserve">, explicadas en parte por el flujo comercial que tiene Brasil con esos países. Por otro lado, los periodos de alta volatilidad de principios del siglo XXI años 2001, 2002 y 2003, pueden deberse en gran medida, a la desaceleración de la economía americana (recesión) a través del denominado crisis de las empresas </w:t>
      </w:r>
      <w:r w:rsidR="00E9600B" w:rsidRPr="00FD1DC0">
        <w:rPr>
          <w:rFonts w:ascii="Times New Roman" w:hAnsi="Times New Roman" w:cs="Times New Roman"/>
          <w:i/>
          <w:lang w:val="es-BO"/>
        </w:rPr>
        <w:t>punto com</w:t>
      </w:r>
      <w:r w:rsidR="00E9600B" w:rsidRPr="00FD1DC0">
        <w:rPr>
          <w:rFonts w:ascii="Times New Roman" w:hAnsi="Times New Roman" w:cs="Times New Roman"/>
          <w:lang w:val="es-BO"/>
        </w:rPr>
        <w:t xml:space="preserve"> y el efecto adverso que tuvo la misma sobre variables reales, generando incertidumbre. </w:t>
      </w:r>
    </w:p>
    <w:p w14:paraId="3E9180DE" w14:textId="4E43C234" w:rsidR="00AF2D84" w:rsidRPr="00FD1DC0" w:rsidRDefault="00E9600B"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Nuevamente para mediados del 2008, 2009 y 2010 se observan agrupamientos de una elevada volatilidad cambiaria</w:t>
      </w:r>
      <w:r w:rsidR="00955579" w:rsidRPr="00FD1DC0">
        <w:rPr>
          <w:rFonts w:ascii="Times New Roman" w:hAnsi="Times New Roman" w:cs="Times New Roman"/>
          <w:lang w:val="es-BO"/>
        </w:rPr>
        <w:t xml:space="preserve"> real</w:t>
      </w:r>
      <w:r w:rsidRPr="00FD1DC0">
        <w:rPr>
          <w:rFonts w:ascii="Times New Roman" w:hAnsi="Times New Roman" w:cs="Times New Roman"/>
          <w:lang w:val="es-BO"/>
        </w:rPr>
        <w:t xml:space="preserve">, la génesis de la misma es la crisis de las hipotecas </w:t>
      </w:r>
      <w:r w:rsidRPr="00FD1DC0">
        <w:rPr>
          <w:rFonts w:ascii="Times New Roman" w:hAnsi="Times New Roman" w:cs="Times New Roman"/>
          <w:i/>
          <w:lang w:val="es-BO"/>
        </w:rPr>
        <w:t xml:space="preserve">subprime </w:t>
      </w:r>
      <w:r w:rsidRPr="00FD1DC0">
        <w:rPr>
          <w:rFonts w:ascii="Times New Roman" w:hAnsi="Times New Roman" w:cs="Times New Roman"/>
          <w:lang w:val="es-BO"/>
        </w:rPr>
        <w:t xml:space="preserve">que se inició en Estados Unidos y que contagio a una buena parte de países a nivel mundial. Aunado a ello la crisis griega del 2010. Por último, </w:t>
      </w:r>
      <w:r w:rsidR="00536478" w:rsidRPr="00FD1DC0">
        <w:rPr>
          <w:rFonts w:ascii="Times New Roman" w:hAnsi="Times New Roman" w:cs="Times New Roman"/>
          <w:lang w:val="es-BO"/>
        </w:rPr>
        <w:t>para después del 2016, tenemos la continua depreciación de la moneda mexicana y la moneda brasileña respecto del dólar americano</w:t>
      </w:r>
      <w:r w:rsidR="00B33977" w:rsidRPr="00FD1DC0">
        <w:rPr>
          <w:rFonts w:ascii="Times New Roman" w:hAnsi="Times New Roman" w:cs="Times New Roman"/>
          <w:lang w:val="es-BO"/>
        </w:rPr>
        <w:t>.</w:t>
      </w:r>
      <w:r w:rsidR="00292000" w:rsidRPr="00FD1DC0">
        <w:rPr>
          <w:rFonts w:ascii="Times New Roman" w:hAnsi="Times New Roman" w:cs="Times New Roman"/>
          <w:lang w:val="es-BO"/>
        </w:rPr>
        <w:t xml:space="preserve"> </w:t>
      </w:r>
    </w:p>
    <w:p w14:paraId="7D8B7A75" w14:textId="512E7B7E" w:rsidR="008F04E8" w:rsidRPr="00FD1DC0" w:rsidRDefault="005734B8" w:rsidP="00F2475E">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Asimismo, en l</w:t>
      </w:r>
      <w:r w:rsidR="00492148" w:rsidRPr="00FD1DC0">
        <w:rPr>
          <w:rFonts w:ascii="Times New Roman" w:hAnsi="Times New Roman" w:cs="Times New Roman"/>
          <w:lang w:val="es-BO"/>
        </w:rPr>
        <w:t>a gráfica nro. 8</w:t>
      </w:r>
      <w:r w:rsidR="00F2475E" w:rsidRPr="00FD1DC0">
        <w:rPr>
          <w:rFonts w:ascii="Times New Roman" w:hAnsi="Times New Roman" w:cs="Times New Roman"/>
          <w:lang w:val="es-BO"/>
        </w:rPr>
        <w:t xml:space="preserve"> se puede advertir la relación que existe entre la evolución en niveles de los precios del petróleo (WTI) y la volatilidad estocástica para el caso de México, la misma es importante analizarla, debido a que la mezcla mexicana guarda una estrecha relación con los precios del WTI y la misma es una variable fundamental en el volumen de reservas internacionales del Banco de México y la utilización de las mismas en la intervención esterilizada en los mercados cambiarios.</w:t>
      </w:r>
    </w:p>
    <w:p w14:paraId="3F5E786F" w14:textId="5DDE10B7" w:rsidR="002B6656" w:rsidRPr="00FD1DC0" w:rsidRDefault="00492148" w:rsidP="002B6656">
      <w:pPr>
        <w:spacing w:after="0" w:line="240" w:lineRule="auto"/>
        <w:ind w:left="62" w:right="539" w:hanging="11"/>
        <w:jc w:val="center"/>
        <w:rPr>
          <w:b/>
          <w:bCs/>
          <w:sz w:val="20"/>
          <w:szCs w:val="20"/>
          <w:lang w:val="es-BO"/>
        </w:rPr>
      </w:pPr>
      <w:r w:rsidRPr="00FD1DC0">
        <w:rPr>
          <w:b/>
          <w:bCs/>
          <w:sz w:val="20"/>
          <w:szCs w:val="20"/>
          <w:lang w:val="es-BO"/>
        </w:rPr>
        <w:t>Gráfica 8</w:t>
      </w:r>
    </w:p>
    <w:p w14:paraId="263F0315" w14:textId="69E69D14" w:rsidR="002B6656" w:rsidRPr="00FD1DC0" w:rsidRDefault="002B6656" w:rsidP="002B6656">
      <w:pPr>
        <w:spacing w:after="0" w:line="240" w:lineRule="auto"/>
        <w:ind w:left="62" w:right="539" w:hanging="11"/>
        <w:jc w:val="center"/>
        <w:rPr>
          <w:b/>
          <w:bCs/>
          <w:sz w:val="20"/>
          <w:szCs w:val="20"/>
          <w:lang w:val="es-BO"/>
        </w:rPr>
      </w:pPr>
      <w:r w:rsidRPr="00FD1DC0">
        <w:rPr>
          <w:b/>
          <w:bCs/>
          <w:sz w:val="20"/>
          <w:szCs w:val="20"/>
          <w:lang w:val="es-BO"/>
        </w:rPr>
        <w:t>Volatilidad estocástica</w:t>
      </w:r>
      <w:r w:rsidR="00F2475E" w:rsidRPr="00FD1DC0">
        <w:rPr>
          <w:b/>
          <w:bCs/>
          <w:sz w:val="20"/>
          <w:szCs w:val="20"/>
          <w:lang w:val="es-BO"/>
        </w:rPr>
        <w:t xml:space="preserve"> México</w:t>
      </w:r>
      <w:r w:rsidRPr="00FD1DC0">
        <w:rPr>
          <w:b/>
          <w:bCs/>
          <w:sz w:val="20"/>
          <w:szCs w:val="20"/>
          <w:lang w:val="es-BO"/>
        </w:rPr>
        <w:t xml:space="preserve"> (izquierda) y los precios del petróleo – West Texas Intermediate (derecha) </w:t>
      </w:r>
    </w:p>
    <w:p w14:paraId="5A65FE6A" w14:textId="77777777" w:rsidR="002B6656" w:rsidRPr="00FD1DC0" w:rsidRDefault="002B6656" w:rsidP="002B6656">
      <w:pPr>
        <w:autoSpaceDE w:val="0"/>
        <w:autoSpaceDN w:val="0"/>
        <w:adjustRightInd w:val="0"/>
        <w:spacing w:after="0" w:line="240" w:lineRule="auto"/>
        <w:ind w:firstLine="708"/>
        <w:jc w:val="center"/>
      </w:pPr>
      <w:r w:rsidRPr="00FD1DC0">
        <w:rPr>
          <w:noProof/>
        </w:rPr>
        <w:drawing>
          <wp:inline distT="0" distB="0" distL="0" distR="0" wp14:anchorId="03D00232" wp14:editId="1711E955">
            <wp:extent cx="4686300" cy="2050853"/>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50487" cy="2078943"/>
                    </a:xfrm>
                    <a:prstGeom prst="rect">
                      <a:avLst/>
                    </a:prstGeom>
                    <a:noFill/>
                    <a:ln>
                      <a:noFill/>
                    </a:ln>
                  </pic:spPr>
                </pic:pic>
              </a:graphicData>
            </a:graphic>
          </wp:inline>
        </w:drawing>
      </w:r>
    </w:p>
    <w:p w14:paraId="7E6AB343" w14:textId="77777777" w:rsidR="002B6656" w:rsidRPr="00FD1DC0" w:rsidRDefault="002B6656" w:rsidP="002B6656">
      <w:pPr>
        <w:spacing w:after="0" w:line="240" w:lineRule="auto"/>
        <w:ind w:left="45" w:right="533" w:hanging="11"/>
        <w:jc w:val="center"/>
        <w:rPr>
          <w:b/>
          <w:sz w:val="16"/>
          <w:lang w:val="es-BO"/>
        </w:rPr>
      </w:pPr>
      <w:r w:rsidRPr="00FD1DC0">
        <w:rPr>
          <w:b/>
          <w:sz w:val="16"/>
          <w:lang w:val="es-BO"/>
        </w:rPr>
        <w:t>Fuente: Elaboración propia</w:t>
      </w:r>
    </w:p>
    <w:p w14:paraId="6F098755" w14:textId="38E411AE" w:rsidR="00746790" w:rsidRPr="00FD1DC0" w:rsidRDefault="006A3E9D" w:rsidP="00EE1332">
      <w:pPr>
        <w:pStyle w:val="Ttulo2"/>
        <w:spacing w:after="0" w:line="360" w:lineRule="auto"/>
        <w:ind w:left="45" w:right="369"/>
        <w:jc w:val="both"/>
        <w:rPr>
          <w:lang w:val="es-BO"/>
        </w:rPr>
      </w:pPr>
      <w:r w:rsidRPr="00FD1DC0">
        <w:rPr>
          <w:lang w:val="es-BO"/>
        </w:rPr>
        <w:t>3</w:t>
      </w:r>
      <w:r w:rsidR="003A12D5">
        <w:rPr>
          <w:lang w:val="es-BO"/>
        </w:rPr>
        <w:t>.6</w:t>
      </w:r>
      <w:r w:rsidR="00E9600B" w:rsidRPr="00FD1DC0">
        <w:rPr>
          <w:lang w:val="es-BO"/>
        </w:rPr>
        <w:t xml:space="preserve"> </w:t>
      </w:r>
      <w:r w:rsidR="00E973E0" w:rsidRPr="00FD1DC0">
        <w:rPr>
          <w:lang w:val="es-BO"/>
        </w:rPr>
        <w:t>Modelo Markov S</w:t>
      </w:r>
      <w:r w:rsidR="00025853" w:rsidRPr="00FD1DC0">
        <w:rPr>
          <w:lang w:val="es-BO"/>
        </w:rPr>
        <w:t xml:space="preserve">witching al caso Mexicano y Brasilero </w:t>
      </w:r>
    </w:p>
    <w:p w14:paraId="33A975E1" w14:textId="1704FE76" w:rsidR="00746790" w:rsidRPr="00FD1DC0" w:rsidRDefault="00E9600B" w:rsidP="008F04E8">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El objetivo de esta sección es identificar los períodos de alta y/o baja volatilidad cambia</w:t>
      </w:r>
      <w:r w:rsidR="004F17FE" w:rsidRPr="00FD1DC0">
        <w:rPr>
          <w:rFonts w:ascii="Times New Roman" w:hAnsi="Times New Roman" w:cs="Times New Roman"/>
          <w:lang w:val="es-BO"/>
        </w:rPr>
        <w:t>ria</w:t>
      </w:r>
      <w:r w:rsidR="000A15F2" w:rsidRPr="00FD1DC0">
        <w:rPr>
          <w:rFonts w:ascii="Times New Roman" w:hAnsi="Times New Roman" w:cs="Times New Roman"/>
          <w:lang w:val="es-BO"/>
        </w:rPr>
        <w:t xml:space="preserve"> real</w:t>
      </w:r>
      <w:r w:rsidR="004F17FE" w:rsidRPr="00FD1DC0">
        <w:rPr>
          <w:rFonts w:ascii="Times New Roman" w:hAnsi="Times New Roman" w:cs="Times New Roman"/>
          <w:lang w:val="es-BO"/>
        </w:rPr>
        <w:t xml:space="preserve"> en México y Brasil en el periodo 1994m01- 2020</w:t>
      </w:r>
      <w:r w:rsidR="00373DFF" w:rsidRPr="00FD1DC0">
        <w:rPr>
          <w:rFonts w:ascii="Times New Roman" w:hAnsi="Times New Roman" w:cs="Times New Roman"/>
          <w:lang w:val="es-BO"/>
        </w:rPr>
        <w:t>m12</w:t>
      </w:r>
      <w:r w:rsidR="0020587F" w:rsidRPr="00FD1DC0">
        <w:rPr>
          <w:rFonts w:ascii="Times New Roman" w:hAnsi="Times New Roman" w:cs="Times New Roman"/>
          <w:lang w:val="es-BO"/>
        </w:rPr>
        <w:t xml:space="preserve"> y 1996m01- 2020m12 </w:t>
      </w:r>
      <w:r w:rsidRPr="00FD1DC0">
        <w:rPr>
          <w:rFonts w:ascii="Times New Roman" w:hAnsi="Times New Roman" w:cs="Times New Roman"/>
          <w:lang w:val="es-BO"/>
        </w:rPr>
        <w:t>con datos mensuales</w:t>
      </w:r>
      <w:r w:rsidR="000A15F2" w:rsidRPr="00FD1DC0">
        <w:rPr>
          <w:rFonts w:ascii="Times New Roman" w:hAnsi="Times New Roman" w:cs="Times New Roman"/>
          <w:lang w:val="es-BO"/>
        </w:rPr>
        <w:t xml:space="preserve"> y si en la misma no se ha podido evitar la apreciación cambiaria en el periodo de objetivos de inflación en ambos países, caracterizado por la presencia del denominado miedo a flotar y la intervención recurrente en los mercados cambiarios</w:t>
      </w:r>
      <w:r w:rsidRPr="00FD1DC0">
        <w:rPr>
          <w:rFonts w:ascii="Times New Roman" w:hAnsi="Times New Roman" w:cs="Times New Roman"/>
          <w:lang w:val="es-BO"/>
        </w:rPr>
        <w:t>, además de observar la in</w:t>
      </w:r>
      <w:r w:rsidR="00BD62E3" w:rsidRPr="00FD1DC0">
        <w:rPr>
          <w:rFonts w:ascii="Times New Roman" w:hAnsi="Times New Roman" w:cs="Times New Roman"/>
          <w:lang w:val="es-BO"/>
        </w:rPr>
        <w:t xml:space="preserve"> </w:t>
      </w:r>
      <w:r w:rsidRPr="00FD1DC0">
        <w:rPr>
          <w:rFonts w:ascii="Times New Roman" w:hAnsi="Times New Roman" w:cs="Times New Roman"/>
          <w:lang w:val="es-BO"/>
        </w:rPr>
        <w:t xml:space="preserve">fluencia de variables de economía política en el cambio de regímenes cambiarios. </w:t>
      </w:r>
    </w:p>
    <w:p w14:paraId="071C0D43" w14:textId="29FE3054" w:rsidR="00746790" w:rsidRPr="00FD1DC0" w:rsidRDefault="00980672" w:rsidP="008F04E8">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En esa línea, l</w:t>
      </w:r>
      <w:r w:rsidR="00E9600B" w:rsidRPr="00FD1DC0">
        <w:rPr>
          <w:rFonts w:ascii="Times New Roman" w:hAnsi="Times New Roman" w:cs="Times New Roman"/>
          <w:lang w:val="es-BO"/>
        </w:rPr>
        <w:t>a variable dependiente (Vc</w:t>
      </w:r>
      <w:r w:rsidR="00E9600B" w:rsidRPr="00FD1DC0">
        <w:rPr>
          <w:rFonts w:ascii="Times New Roman" w:hAnsi="Times New Roman" w:cs="Times New Roman"/>
          <w:vertAlign w:val="subscript"/>
          <w:lang w:val="es-BO"/>
        </w:rPr>
        <w:t>t</w:t>
      </w:r>
      <w:r w:rsidR="00E9600B" w:rsidRPr="00FD1DC0">
        <w:rPr>
          <w:rFonts w:ascii="Times New Roman" w:hAnsi="Times New Roman" w:cs="Times New Roman"/>
          <w:lang w:val="es-BO"/>
        </w:rPr>
        <w:t>) en el modelo es la volati</w:t>
      </w:r>
      <w:r w:rsidR="00246A03" w:rsidRPr="00FD1DC0">
        <w:rPr>
          <w:rFonts w:ascii="Times New Roman" w:hAnsi="Times New Roman" w:cs="Times New Roman"/>
          <w:lang w:val="es-BO"/>
        </w:rPr>
        <w:t>lidad del tipo de cambio real</w:t>
      </w:r>
      <w:r w:rsidR="00E9600B" w:rsidRPr="00FD1DC0">
        <w:rPr>
          <w:rFonts w:ascii="Times New Roman" w:hAnsi="Times New Roman" w:cs="Times New Roman"/>
          <w:lang w:val="es-BO"/>
        </w:rPr>
        <w:t xml:space="preserve"> </w:t>
      </w:r>
      <w:r w:rsidR="00246A03" w:rsidRPr="00FD1DC0">
        <w:rPr>
          <w:rFonts w:ascii="Times New Roman" w:hAnsi="Times New Roman" w:cs="Times New Roman"/>
          <w:lang w:val="es-BO"/>
        </w:rPr>
        <w:t xml:space="preserve">(Modelo TGARCH) para México y </w:t>
      </w:r>
      <w:r w:rsidR="00E9600B" w:rsidRPr="00FD1DC0">
        <w:rPr>
          <w:rFonts w:ascii="Times New Roman" w:hAnsi="Times New Roman" w:cs="Times New Roman"/>
          <w:lang w:val="es-BO"/>
        </w:rPr>
        <w:t xml:space="preserve"> (Mod</w:t>
      </w:r>
      <w:r w:rsidR="00246A03" w:rsidRPr="00FD1DC0">
        <w:rPr>
          <w:rFonts w:ascii="Times New Roman" w:hAnsi="Times New Roman" w:cs="Times New Roman"/>
          <w:lang w:val="es-BO"/>
        </w:rPr>
        <w:t>elo P</w:t>
      </w:r>
      <w:r w:rsidR="00E9600B" w:rsidRPr="00FD1DC0">
        <w:rPr>
          <w:rFonts w:ascii="Times New Roman" w:hAnsi="Times New Roman" w:cs="Times New Roman"/>
          <w:lang w:val="es-BO"/>
        </w:rPr>
        <w:t>AR</w:t>
      </w:r>
      <w:r w:rsidR="00246A03" w:rsidRPr="00FD1DC0">
        <w:rPr>
          <w:rFonts w:ascii="Times New Roman" w:hAnsi="Times New Roman" w:cs="Times New Roman"/>
          <w:lang w:val="es-BO"/>
        </w:rPr>
        <w:t>C</w:t>
      </w:r>
      <w:r w:rsidR="00E9600B" w:rsidRPr="00FD1DC0">
        <w:rPr>
          <w:rFonts w:ascii="Times New Roman" w:hAnsi="Times New Roman" w:cs="Times New Roman"/>
          <w:lang w:val="es-BO"/>
        </w:rPr>
        <w:t>H) para Brasil</w:t>
      </w:r>
      <w:r w:rsidR="00E9600B" w:rsidRPr="00FD1DC0">
        <w:rPr>
          <w:rFonts w:ascii="Times New Roman" w:hAnsi="Times New Roman" w:cs="Times New Roman"/>
          <w:vertAlign w:val="superscript"/>
        </w:rPr>
        <w:footnoteReference w:id="11"/>
      </w:r>
      <w:r w:rsidR="00E9600B" w:rsidRPr="00FD1DC0">
        <w:rPr>
          <w:rFonts w:ascii="Times New Roman" w:hAnsi="Times New Roman" w:cs="Times New Roman"/>
          <w:lang w:val="es-BO"/>
        </w:rPr>
        <w:t xml:space="preserve">. </w:t>
      </w:r>
    </w:p>
    <w:p w14:paraId="5A35729E" w14:textId="66FC5B88" w:rsidR="00746790" w:rsidRPr="00FD1DC0" w:rsidRDefault="00E9600B" w:rsidP="008F04E8">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Por lo tanto para determinar la selección optima del rezago se </w:t>
      </w:r>
      <w:r w:rsidR="00373DFF" w:rsidRPr="00FD1DC0">
        <w:rPr>
          <w:rFonts w:ascii="Times New Roman" w:hAnsi="Times New Roman" w:cs="Times New Roman"/>
          <w:lang w:val="es-BO"/>
        </w:rPr>
        <w:t>aplicó</w:t>
      </w:r>
      <w:r w:rsidRPr="00FD1DC0">
        <w:rPr>
          <w:rFonts w:ascii="Times New Roman" w:hAnsi="Times New Roman" w:cs="Times New Roman"/>
          <w:lang w:val="es-BO"/>
        </w:rPr>
        <w:t xml:space="preserve"> </w:t>
      </w:r>
      <w:r w:rsidR="00BD62E3" w:rsidRPr="00FD1DC0">
        <w:rPr>
          <w:rFonts w:ascii="Times New Roman" w:hAnsi="Times New Roman" w:cs="Times New Roman"/>
          <w:lang w:val="es-BO"/>
        </w:rPr>
        <w:t>el método econométrico de elección de rezago optimo deductivo</w:t>
      </w:r>
      <w:r w:rsidRPr="00FD1DC0">
        <w:rPr>
          <w:rFonts w:ascii="Times New Roman" w:hAnsi="Times New Roman" w:cs="Times New Roman"/>
          <w:lang w:val="es-BO"/>
        </w:rPr>
        <w:t>, empezando</w:t>
      </w:r>
      <w:r w:rsidR="004472D6" w:rsidRPr="00FD1DC0">
        <w:rPr>
          <w:rFonts w:ascii="Times New Roman" w:hAnsi="Times New Roman" w:cs="Times New Roman"/>
          <w:lang w:val="es-BO"/>
        </w:rPr>
        <w:t xml:space="preserve"> desde una especificación de r=5</w:t>
      </w:r>
      <w:r w:rsidRPr="00FD1DC0">
        <w:rPr>
          <w:rFonts w:ascii="Times New Roman" w:hAnsi="Times New Roman" w:cs="Times New Roman"/>
          <w:lang w:val="es-BO"/>
        </w:rPr>
        <w:t xml:space="preserve"> retardos y se </w:t>
      </w:r>
      <w:r w:rsidR="00373DFF" w:rsidRPr="00FD1DC0">
        <w:rPr>
          <w:rFonts w:ascii="Times New Roman" w:hAnsi="Times New Roman" w:cs="Times New Roman"/>
          <w:lang w:val="es-BO"/>
        </w:rPr>
        <w:t>detectó</w:t>
      </w:r>
      <w:r w:rsidRPr="00FD1DC0">
        <w:rPr>
          <w:rFonts w:ascii="Times New Roman" w:hAnsi="Times New Roman" w:cs="Times New Roman"/>
          <w:lang w:val="es-BO"/>
        </w:rPr>
        <w:t xml:space="preserve"> dados los resultados del cuadro 5 y 6, que el modelo con el menor criterio de akaike es un modelo MSAR (2) – e(1) para México y </w:t>
      </w:r>
    </w:p>
    <w:p w14:paraId="053E07A3" w14:textId="6FE02FF2" w:rsidR="00EA33AD" w:rsidRPr="00FD1DC0" w:rsidRDefault="00E9600B" w:rsidP="00F2475E">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MSAR (2) – e(1) Brasil. </w:t>
      </w:r>
    </w:p>
    <w:p w14:paraId="3E0EFA18" w14:textId="77777777" w:rsidR="00746790" w:rsidRPr="00FD1DC0" w:rsidRDefault="00E9600B">
      <w:pPr>
        <w:pStyle w:val="Ttulo4"/>
        <w:ind w:right="5"/>
        <w:rPr>
          <w:lang w:val="es-BO"/>
        </w:rPr>
      </w:pPr>
      <w:r w:rsidRPr="00FD1DC0">
        <w:rPr>
          <w:lang w:val="es-BO"/>
        </w:rPr>
        <w:t xml:space="preserve">Cuadro 5 </w:t>
      </w:r>
    </w:p>
    <w:p w14:paraId="5F9D4A53" w14:textId="77777777" w:rsidR="00746790" w:rsidRPr="00FD1DC0" w:rsidRDefault="00E9600B">
      <w:pPr>
        <w:spacing w:after="8" w:line="250" w:lineRule="auto"/>
        <w:ind w:left="2864" w:right="158" w:hanging="1726"/>
        <w:jc w:val="left"/>
        <w:rPr>
          <w:lang w:val="es-BO"/>
        </w:rPr>
      </w:pPr>
      <w:r w:rsidRPr="00FD1DC0">
        <w:rPr>
          <w:b/>
          <w:sz w:val="20"/>
          <w:lang w:val="es-BO"/>
        </w:rPr>
        <w:t xml:space="preserve">Criterios de selección de retardos de estadísticos no paramétricos para el modelo MSAR (q) para México </w:t>
      </w:r>
    </w:p>
    <w:tbl>
      <w:tblPr>
        <w:tblStyle w:val="TableGrid"/>
        <w:tblW w:w="6455" w:type="dxa"/>
        <w:tblInd w:w="1075" w:type="dxa"/>
        <w:tblCellMar>
          <w:top w:w="8" w:type="dxa"/>
          <w:left w:w="115" w:type="dxa"/>
          <w:right w:w="115" w:type="dxa"/>
        </w:tblCellMar>
        <w:tblLook w:val="04A0" w:firstRow="1" w:lastRow="0" w:firstColumn="1" w:lastColumn="0" w:noHBand="0" w:noVBand="1"/>
      </w:tblPr>
      <w:tblGrid>
        <w:gridCol w:w="1056"/>
        <w:gridCol w:w="946"/>
        <w:gridCol w:w="1068"/>
        <w:gridCol w:w="1846"/>
        <w:gridCol w:w="1539"/>
      </w:tblGrid>
      <w:tr w:rsidR="00746790" w:rsidRPr="00FD1DC0" w14:paraId="616BB61A" w14:textId="77777777">
        <w:trPr>
          <w:trHeight w:val="422"/>
        </w:trPr>
        <w:tc>
          <w:tcPr>
            <w:tcW w:w="1057" w:type="dxa"/>
            <w:tcBorders>
              <w:top w:val="single" w:sz="4" w:space="0" w:color="000000"/>
              <w:left w:val="single" w:sz="4" w:space="0" w:color="000000"/>
              <w:bottom w:val="single" w:sz="4" w:space="0" w:color="000000"/>
              <w:right w:val="single" w:sz="4" w:space="0" w:color="000000"/>
            </w:tcBorders>
          </w:tcPr>
          <w:p w14:paraId="303949AA"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b/>
                <w:sz w:val="18"/>
              </w:rPr>
              <w:t xml:space="preserve">Rezago q </w:t>
            </w:r>
          </w:p>
        </w:tc>
        <w:tc>
          <w:tcPr>
            <w:tcW w:w="946" w:type="dxa"/>
            <w:tcBorders>
              <w:top w:val="single" w:sz="4" w:space="0" w:color="000000"/>
              <w:left w:val="single" w:sz="4" w:space="0" w:color="000000"/>
              <w:bottom w:val="single" w:sz="4" w:space="0" w:color="000000"/>
              <w:right w:val="single" w:sz="4" w:space="0" w:color="000000"/>
            </w:tcBorders>
          </w:tcPr>
          <w:p w14:paraId="20CBCDBC" w14:textId="77777777" w:rsidR="00746790" w:rsidRPr="00FD1DC0" w:rsidRDefault="00E9600B">
            <w:pPr>
              <w:spacing w:after="0" w:line="259" w:lineRule="auto"/>
              <w:ind w:left="0" w:right="5" w:firstLine="0"/>
              <w:jc w:val="center"/>
            </w:pPr>
            <w:r w:rsidRPr="00FD1DC0">
              <w:rPr>
                <w:rFonts w:ascii="Times New Roman" w:eastAsia="Times New Roman" w:hAnsi="Times New Roman" w:cs="Times New Roman"/>
                <w:b/>
                <w:sz w:val="18"/>
              </w:rPr>
              <w:t xml:space="preserve">Akaike </w:t>
            </w:r>
          </w:p>
        </w:tc>
        <w:tc>
          <w:tcPr>
            <w:tcW w:w="1068" w:type="dxa"/>
            <w:tcBorders>
              <w:top w:val="single" w:sz="4" w:space="0" w:color="000000"/>
              <w:left w:val="single" w:sz="4" w:space="0" w:color="000000"/>
              <w:bottom w:val="single" w:sz="4" w:space="0" w:color="000000"/>
              <w:right w:val="single" w:sz="4" w:space="0" w:color="000000"/>
            </w:tcBorders>
          </w:tcPr>
          <w:p w14:paraId="45A06A02" w14:textId="77777777" w:rsidR="00746790" w:rsidRPr="00FD1DC0" w:rsidRDefault="00E9600B">
            <w:pPr>
              <w:spacing w:after="0" w:line="259" w:lineRule="auto"/>
              <w:ind w:left="0" w:right="0" w:firstLine="0"/>
              <w:jc w:val="center"/>
            </w:pPr>
            <w:r w:rsidRPr="00FD1DC0">
              <w:rPr>
                <w:rFonts w:ascii="Times New Roman" w:eastAsia="Times New Roman" w:hAnsi="Times New Roman" w:cs="Times New Roman"/>
                <w:b/>
                <w:sz w:val="18"/>
              </w:rPr>
              <w:t xml:space="preserve">Schwarz </w:t>
            </w:r>
          </w:p>
        </w:tc>
        <w:tc>
          <w:tcPr>
            <w:tcW w:w="1846" w:type="dxa"/>
            <w:tcBorders>
              <w:top w:val="single" w:sz="4" w:space="0" w:color="000000"/>
              <w:left w:val="single" w:sz="4" w:space="0" w:color="000000"/>
              <w:bottom w:val="single" w:sz="4" w:space="0" w:color="000000"/>
              <w:right w:val="single" w:sz="4" w:space="0" w:color="000000"/>
            </w:tcBorders>
          </w:tcPr>
          <w:p w14:paraId="360F97DC" w14:textId="77777777" w:rsidR="00746790" w:rsidRPr="00FD1DC0" w:rsidRDefault="00E9600B">
            <w:pPr>
              <w:spacing w:after="0" w:line="259" w:lineRule="auto"/>
              <w:ind w:left="0" w:right="3" w:firstLine="0"/>
              <w:jc w:val="center"/>
            </w:pPr>
            <w:r w:rsidRPr="00FD1DC0">
              <w:rPr>
                <w:rFonts w:ascii="Times New Roman" w:eastAsia="Times New Roman" w:hAnsi="Times New Roman" w:cs="Times New Roman"/>
                <w:b/>
                <w:sz w:val="18"/>
              </w:rPr>
              <w:t xml:space="preserve">Hannan-Quinn </w:t>
            </w:r>
          </w:p>
        </w:tc>
        <w:tc>
          <w:tcPr>
            <w:tcW w:w="1539" w:type="dxa"/>
            <w:tcBorders>
              <w:top w:val="single" w:sz="4" w:space="0" w:color="000000"/>
              <w:left w:val="single" w:sz="4" w:space="0" w:color="000000"/>
              <w:bottom w:val="single" w:sz="4" w:space="0" w:color="000000"/>
              <w:right w:val="single" w:sz="4" w:space="0" w:color="000000"/>
            </w:tcBorders>
          </w:tcPr>
          <w:p w14:paraId="0F419131" w14:textId="77777777" w:rsidR="00746790" w:rsidRPr="00FD1DC0" w:rsidRDefault="00E9600B">
            <w:pPr>
              <w:spacing w:after="0" w:line="259" w:lineRule="auto"/>
              <w:ind w:left="0" w:right="6" w:firstLine="0"/>
              <w:jc w:val="center"/>
            </w:pPr>
            <w:r w:rsidRPr="00FD1DC0">
              <w:rPr>
                <w:rFonts w:ascii="Times New Roman" w:eastAsia="Times New Roman" w:hAnsi="Times New Roman" w:cs="Times New Roman"/>
                <w:b/>
                <w:sz w:val="18"/>
              </w:rPr>
              <w:t>Akaike/T</w:t>
            </w:r>
            <w:r w:rsidRPr="00FD1DC0">
              <w:rPr>
                <w:rFonts w:ascii="Times New Roman" w:eastAsia="Times New Roman" w:hAnsi="Times New Roman" w:cs="Times New Roman"/>
                <w:b/>
                <w:sz w:val="18"/>
                <w:vertAlign w:val="superscript"/>
              </w:rPr>
              <w:t xml:space="preserve"> </w:t>
            </w:r>
          </w:p>
        </w:tc>
      </w:tr>
      <w:tr w:rsidR="00746790" w:rsidRPr="00FD1DC0" w14:paraId="149AF2B4"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7C35F136"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5 </w:t>
            </w:r>
          </w:p>
        </w:tc>
        <w:tc>
          <w:tcPr>
            <w:tcW w:w="946" w:type="dxa"/>
            <w:tcBorders>
              <w:top w:val="single" w:sz="4" w:space="0" w:color="000000"/>
              <w:left w:val="single" w:sz="4" w:space="0" w:color="000000"/>
              <w:bottom w:val="single" w:sz="4" w:space="0" w:color="000000"/>
              <w:right w:val="single" w:sz="4" w:space="0" w:color="000000"/>
            </w:tcBorders>
          </w:tcPr>
          <w:p w14:paraId="3C73A8CB" w14:textId="238A70EC" w:rsidR="00746790" w:rsidRPr="00FD1DC0" w:rsidRDefault="000C5688">
            <w:pPr>
              <w:spacing w:after="0" w:line="259" w:lineRule="auto"/>
              <w:ind w:left="0" w:right="4" w:firstLine="0"/>
              <w:jc w:val="center"/>
            </w:pPr>
            <w:r w:rsidRPr="00FD1DC0">
              <w:rPr>
                <w:rFonts w:ascii="Times New Roman" w:eastAsia="Times New Roman" w:hAnsi="Times New Roman" w:cs="Times New Roman"/>
                <w:sz w:val="18"/>
              </w:rPr>
              <w:t>-7.351</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3C1F371B" w14:textId="2FEE74E8" w:rsidR="00746790" w:rsidRPr="00FD1DC0" w:rsidRDefault="000C5688">
            <w:pPr>
              <w:spacing w:after="0" w:line="259" w:lineRule="auto"/>
              <w:ind w:left="0" w:right="1" w:firstLine="0"/>
              <w:jc w:val="center"/>
            </w:pPr>
            <w:r w:rsidRPr="00FD1DC0">
              <w:rPr>
                <w:rFonts w:ascii="Times New Roman" w:eastAsia="Times New Roman" w:hAnsi="Times New Roman" w:cs="Times New Roman"/>
                <w:sz w:val="18"/>
              </w:rPr>
              <w:t>-7.232</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1491EBF7" w14:textId="6B9BC048" w:rsidR="00746790" w:rsidRPr="00FD1DC0" w:rsidRDefault="000C5688">
            <w:pPr>
              <w:spacing w:after="0" w:line="259" w:lineRule="auto"/>
              <w:ind w:left="0" w:right="1" w:firstLine="0"/>
              <w:jc w:val="center"/>
            </w:pPr>
            <w:r w:rsidRPr="00FD1DC0">
              <w:rPr>
                <w:rFonts w:ascii="Times New Roman" w:eastAsia="Times New Roman" w:hAnsi="Times New Roman" w:cs="Times New Roman"/>
                <w:sz w:val="18"/>
              </w:rPr>
              <w:t>-7.361</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3D161E73" w14:textId="7655704B" w:rsidR="00746790" w:rsidRPr="00FD1DC0" w:rsidRDefault="000C5688">
            <w:pPr>
              <w:spacing w:after="0" w:line="259" w:lineRule="auto"/>
              <w:ind w:left="0" w:right="0" w:firstLine="0"/>
              <w:jc w:val="center"/>
            </w:pPr>
            <w:r w:rsidRPr="00FD1DC0">
              <w:rPr>
                <w:rFonts w:ascii="Times New Roman" w:eastAsia="Times New Roman" w:hAnsi="Times New Roman" w:cs="Times New Roman"/>
                <w:sz w:val="18"/>
              </w:rPr>
              <w:t>-0.03051</w:t>
            </w:r>
            <w:r w:rsidR="00E9600B" w:rsidRPr="00FD1DC0">
              <w:rPr>
                <w:rFonts w:ascii="Times New Roman" w:eastAsia="Times New Roman" w:hAnsi="Times New Roman" w:cs="Times New Roman"/>
                <w:sz w:val="18"/>
              </w:rPr>
              <w:t xml:space="preserve"> </w:t>
            </w:r>
          </w:p>
        </w:tc>
      </w:tr>
      <w:tr w:rsidR="00746790" w:rsidRPr="00FD1DC0" w14:paraId="741D122F"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175D9D76"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4  </w:t>
            </w:r>
          </w:p>
        </w:tc>
        <w:tc>
          <w:tcPr>
            <w:tcW w:w="946" w:type="dxa"/>
            <w:tcBorders>
              <w:top w:val="single" w:sz="4" w:space="0" w:color="000000"/>
              <w:left w:val="single" w:sz="4" w:space="0" w:color="000000"/>
              <w:bottom w:val="single" w:sz="4" w:space="0" w:color="000000"/>
              <w:right w:val="single" w:sz="4" w:space="0" w:color="000000"/>
            </w:tcBorders>
          </w:tcPr>
          <w:p w14:paraId="7D6E88F0" w14:textId="18C8359C" w:rsidR="00746790" w:rsidRPr="00FD1DC0" w:rsidRDefault="000C5688">
            <w:pPr>
              <w:spacing w:after="0" w:line="259" w:lineRule="auto"/>
              <w:ind w:left="0" w:right="4" w:firstLine="0"/>
              <w:jc w:val="center"/>
            </w:pPr>
            <w:r w:rsidRPr="00FD1DC0">
              <w:rPr>
                <w:rFonts w:ascii="Times New Roman" w:eastAsia="Times New Roman" w:hAnsi="Times New Roman" w:cs="Times New Roman"/>
                <w:sz w:val="18"/>
              </w:rPr>
              <w:t>-7.234</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14884D8F" w14:textId="1981A510" w:rsidR="00746790" w:rsidRPr="00FD1DC0" w:rsidRDefault="000C5688">
            <w:pPr>
              <w:spacing w:after="0" w:line="259" w:lineRule="auto"/>
              <w:ind w:left="0" w:right="1" w:firstLine="0"/>
              <w:jc w:val="center"/>
            </w:pPr>
            <w:r w:rsidRPr="00FD1DC0">
              <w:rPr>
                <w:rFonts w:ascii="Times New Roman" w:eastAsia="Times New Roman" w:hAnsi="Times New Roman" w:cs="Times New Roman"/>
                <w:sz w:val="18"/>
              </w:rPr>
              <w:t>-7.321</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4C142FDB" w14:textId="6BD8F66D" w:rsidR="00746790" w:rsidRPr="00FD1DC0" w:rsidRDefault="000C5688">
            <w:pPr>
              <w:spacing w:after="0" w:line="259" w:lineRule="auto"/>
              <w:ind w:left="0" w:right="1" w:firstLine="0"/>
              <w:jc w:val="center"/>
            </w:pPr>
            <w:r w:rsidRPr="00FD1DC0">
              <w:rPr>
                <w:rFonts w:ascii="Times New Roman" w:eastAsia="Times New Roman" w:hAnsi="Times New Roman" w:cs="Times New Roman"/>
                <w:sz w:val="18"/>
              </w:rPr>
              <w:t>-7.252</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3D7CB448" w14:textId="02349723" w:rsidR="00746790" w:rsidRPr="00FD1DC0" w:rsidRDefault="000C5688">
            <w:pPr>
              <w:spacing w:after="0" w:line="259" w:lineRule="auto"/>
              <w:ind w:left="0" w:right="0" w:firstLine="0"/>
              <w:jc w:val="center"/>
            </w:pPr>
            <w:r w:rsidRPr="00FD1DC0">
              <w:rPr>
                <w:rFonts w:ascii="Times New Roman" w:eastAsia="Times New Roman" w:hAnsi="Times New Roman" w:cs="Times New Roman"/>
                <w:sz w:val="18"/>
              </w:rPr>
              <w:t>-0.02942</w:t>
            </w:r>
            <w:r w:rsidR="00E9600B" w:rsidRPr="00FD1DC0">
              <w:rPr>
                <w:rFonts w:ascii="Times New Roman" w:eastAsia="Times New Roman" w:hAnsi="Times New Roman" w:cs="Times New Roman"/>
                <w:sz w:val="18"/>
              </w:rPr>
              <w:t xml:space="preserve"> </w:t>
            </w:r>
          </w:p>
        </w:tc>
      </w:tr>
      <w:tr w:rsidR="00746790" w:rsidRPr="00FD1DC0" w14:paraId="417797AC" w14:textId="77777777">
        <w:trPr>
          <w:trHeight w:val="422"/>
        </w:trPr>
        <w:tc>
          <w:tcPr>
            <w:tcW w:w="1057" w:type="dxa"/>
            <w:tcBorders>
              <w:top w:val="single" w:sz="4" w:space="0" w:color="000000"/>
              <w:left w:val="single" w:sz="4" w:space="0" w:color="000000"/>
              <w:bottom w:val="single" w:sz="4" w:space="0" w:color="000000"/>
              <w:right w:val="single" w:sz="4" w:space="0" w:color="000000"/>
            </w:tcBorders>
          </w:tcPr>
          <w:p w14:paraId="1A4F81B9"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3 </w:t>
            </w:r>
          </w:p>
        </w:tc>
        <w:tc>
          <w:tcPr>
            <w:tcW w:w="946" w:type="dxa"/>
            <w:tcBorders>
              <w:top w:val="single" w:sz="4" w:space="0" w:color="000000"/>
              <w:left w:val="single" w:sz="4" w:space="0" w:color="000000"/>
              <w:bottom w:val="single" w:sz="4" w:space="0" w:color="000000"/>
              <w:right w:val="single" w:sz="4" w:space="0" w:color="000000"/>
            </w:tcBorders>
          </w:tcPr>
          <w:p w14:paraId="7730585E" w14:textId="0D0390E5" w:rsidR="00746790" w:rsidRPr="00FD1DC0" w:rsidRDefault="000C5688">
            <w:pPr>
              <w:spacing w:after="0" w:line="259" w:lineRule="auto"/>
              <w:ind w:left="0" w:right="4" w:firstLine="0"/>
              <w:jc w:val="center"/>
            </w:pPr>
            <w:r w:rsidRPr="00FD1DC0">
              <w:rPr>
                <w:rFonts w:ascii="Times New Roman" w:eastAsia="Times New Roman" w:hAnsi="Times New Roman" w:cs="Times New Roman"/>
                <w:sz w:val="18"/>
              </w:rPr>
              <w:t>-7.183</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14BAF6E7" w14:textId="4F835499" w:rsidR="00746790" w:rsidRPr="00FD1DC0" w:rsidRDefault="000C5688">
            <w:pPr>
              <w:spacing w:after="0" w:line="259" w:lineRule="auto"/>
              <w:ind w:left="0" w:right="2" w:firstLine="0"/>
              <w:jc w:val="center"/>
            </w:pPr>
            <w:r w:rsidRPr="00FD1DC0">
              <w:rPr>
                <w:rFonts w:ascii="Times New Roman" w:eastAsia="Times New Roman" w:hAnsi="Times New Roman" w:cs="Times New Roman"/>
                <w:sz w:val="18"/>
              </w:rPr>
              <w:t>-7.0</w:t>
            </w:r>
            <w:r w:rsidR="00576A53" w:rsidRPr="00FD1DC0">
              <w:rPr>
                <w:rFonts w:ascii="Times New Roman" w:eastAsia="Times New Roman" w:hAnsi="Times New Roman" w:cs="Times New Roman"/>
                <w:sz w:val="18"/>
              </w:rPr>
              <w:t>01</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639EACFF" w14:textId="0916164D" w:rsidR="00746790" w:rsidRPr="00FD1DC0" w:rsidRDefault="000C5688">
            <w:pPr>
              <w:spacing w:after="0" w:line="259" w:lineRule="auto"/>
              <w:ind w:left="0" w:right="1" w:firstLine="0"/>
              <w:jc w:val="center"/>
            </w:pPr>
            <w:r w:rsidRPr="00FD1DC0">
              <w:rPr>
                <w:rFonts w:ascii="Times New Roman" w:eastAsia="Times New Roman" w:hAnsi="Times New Roman" w:cs="Times New Roman"/>
                <w:sz w:val="18"/>
              </w:rPr>
              <w:t>-7.013</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595F8B80" w14:textId="1F68B046" w:rsidR="00746790" w:rsidRPr="00FD1DC0" w:rsidRDefault="000C5688">
            <w:pPr>
              <w:spacing w:after="0" w:line="259" w:lineRule="auto"/>
              <w:ind w:left="0" w:right="0" w:firstLine="0"/>
              <w:jc w:val="center"/>
            </w:pPr>
            <w:r w:rsidRPr="00FD1DC0">
              <w:rPr>
                <w:rFonts w:ascii="Times New Roman" w:eastAsia="Times New Roman" w:hAnsi="Times New Roman" w:cs="Times New Roman"/>
                <w:sz w:val="18"/>
              </w:rPr>
              <w:t>-0.03033</w:t>
            </w:r>
            <w:r w:rsidR="00E9600B" w:rsidRPr="00FD1DC0">
              <w:rPr>
                <w:rFonts w:ascii="Times New Roman" w:eastAsia="Times New Roman" w:hAnsi="Times New Roman" w:cs="Times New Roman"/>
                <w:sz w:val="18"/>
              </w:rPr>
              <w:t xml:space="preserve"> </w:t>
            </w:r>
          </w:p>
        </w:tc>
      </w:tr>
      <w:tr w:rsidR="00746790" w:rsidRPr="00FD1DC0" w14:paraId="22577149"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24028A16"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b/>
                <w:sz w:val="18"/>
              </w:rPr>
              <w:t xml:space="preserve">2 </w:t>
            </w:r>
          </w:p>
        </w:tc>
        <w:tc>
          <w:tcPr>
            <w:tcW w:w="946" w:type="dxa"/>
            <w:tcBorders>
              <w:top w:val="single" w:sz="4" w:space="0" w:color="000000"/>
              <w:left w:val="single" w:sz="4" w:space="0" w:color="000000"/>
              <w:bottom w:val="single" w:sz="4" w:space="0" w:color="000000"/>
              <w:right w:val="single" w:sz="4" w:space="0" w:color="000000"/>
            </w:tcBorders>
          </w:tcPr>
          <w:p w14:paraId="1078375A" w14:textId="2C097545" w:rsidR="00746790" w:rsidRPr="00FD1DC0" w:rsidRDefault="000C5688">
            <w:pPr>
              <w:spacing w:after="0" w:line="259" w:lineRule="auto"/>
              <w:ind w:left="0" w:right="4" w:firstLine="0"/>
              <w:jc w:val="center"/>
            </w:pPr>
            <w:r w:rsidRPr="00FD1DC0">
              <w:rPr>
                <w:rFonts w:ascii="Times New Roman" w:eastAsia="Times New Roman" w:hAnsi="Times New Roman" w:cs="Times New Roman"/>
                <w:b/>
                <w:sz w:val="18"/>
              </w:rPr>
              <w:t>-7.821</w:t>
            </w:r>
            <w:r w:rsidR="00E9600B" w:rsidRPr="00FD1DC0">
              <w:rPr>
                <w:rFonts w:ascii="Times New Roman" w:eastAsia="Times New Roman" w:hAnsi="Times New Roman" w:cs="Times New Roman"/>
                <w:b/>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6EF02480" w14:textId="0E69E509" w:rsidR="00746790" w:rsidRPr="00FD1DC0" w:rsidRDefault="000C5688">
            <w:pPr>
              <w:spacing w:after="0" w:line="259" w:lineRule="auto"/>
              <w:ind w:left="0" w:right="1" w:firstLine="0"/>
              <w:jc w:val="center"/>
            </w:pPr>
            <w:r w:rsidRPr="00FD1DC0">
              <w:rPr>
                <w:rFonts w:ascii="Times New Roman" w:eastAsia="Times New Roman" w:hAnsi="Times New Roman" w:cs="Times New Roman"/>
                <w:b/>
                <w:sz w:val="18"/>
              </w:rPr>
              <w:t>-7.822</w:t>
            </w:r>
            <w:r w:rsidR="00E9600B" w:rsidRPr="00FD1DC0">
              <w:rPr>
                <w:rFonts w:ascii="Times New Roman" w:eastAsia="Times New Roman" w:hAnsi="Times New Roman" w:cs="Times New Roman"/>
                <w:b/>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0DB5342B" w14:textId="6D1C7B9E" w:rsidR="00746790" w:rsidRPr="00FD1DC0" w:rsidRDefault="000C5688">
            <w:pPr>
              <w:spacing w:after="0" w:line="259" w:lineRule="auto"/>
              <w:ind w:left="0" w:right="1" w:firstLine="0"/>
              <w:jc w:val="center"/>
              <w:rPr>
                <w:lang w:val="es-BO"/>
              </w:rPr>
            </w:pPr>
            <w:r w:rsidRPr="00FD1DC0">
              <w:rPr>
                <w:rFonts w:ascii="Times New Roman" w:eastAsia="Times New Roman" w:hAnsi="Times New Roman" w:cs="Times New Roman"/>
                <w:b/>
                <w:sz w:val="18"/>
                <w:lang w:val="es-BO"/>
              </w:rPr>
              <w:t>-7.576</w:t>
            </w:r>
            <w:r w:rsidR="00E9600B" w:rsidRPr="00FD1DC0">
              <w:rPr>
                <w:rFonts w:ascii="Times New Roman" w:eastAsia="Times New Roman" w:hAnsi="Times New Roman" w:cs="Times New Roman"/>
                <w:b/>
                <w:sz w:val="18"/>
                <w:lang w:val="es-BO"/>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7B9F1E39" w14:textId="19A1674C" w:rsidR="00746790" w:rsidRPr="00FD1DC0" w:rsidRDefault="000C5688">
            <w:pPr>
              <w:spacing w:after="0" w:line="259" w:lineRule="auto"/>
              <w:ind w:left="0" w:right="0" w:firstLine="0"/>
              <w:jc w:val="center"/>
              <w:rPr>
                <w:lang w:val="es-BO"/>
              </w:rPr>
            </w:pPr>
            <w:r w:rsidRPr="00FD1DC0">
              <w:rPr>
                <w:rFonts w:ascii="Times New Roman" w:eastAsia="Times New Roman" w:hAnsi="Times New Roman" w:cs="Times New Roman"/>
                <w:b/>
                <w:sz w:val="18"/>
                <w:lang w:val="es-BO"/>
              </w:rPr>
              <w:t>-0.02132</w:t>
            </w:r>
            <w:r w:rsidR="00E9600B" w:rsidRPr="00FD1DC0">
              <w:rPr>
                <w:rFonts w:ascii="Times New Roman" w:eastAsia="Times New Roman" w:hAnsi="Times New Roman" w:cs="Times New Roman"/>
                <w:b/>
                <w:sz w:val="18"/>
                <w:lang w:val="es-BO"/>
              </w:rPr>
              <w:t xml:space="preserve"> </w:t>
            </w:r>
          </w:p>
        </w:tc>
      </w:tr>
      <w:tr w:rsidR="00746790" w:rsidRPr="00FD1DC0" w14:paraId="4E8F1FC5"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0FA1CBAC" w14:textId="77777777" w:rsidR="00746790" w:rsidRPr="00FD1DC0" w:rsidRDefault="00E9600B">
            <w:pPr>
              <w:spacing w:after="0" w:line="259" w:lineRule="auto"/>
              <w:ind w:left="0" w:right="2" w:firstLine="0"/>
              <w:jc w:val="center"/>
              <w:rPr>
                <w:lang w:val="es-BO"/>
              </w:rPr>
            </w:pPr>
            <w:r w:rsidRPr="00FD1DC0">
              <w:rPr>
                <w:rFonts w:ascii="Times New Roman" w:eastAsia="Times New Roman" w:hAnsi="Times New Roman" w:cs="Times New Roman"/>
                <w:sz w:val="18"/>
                <w:lang w:val="es-BO"/>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4D0F4A45" w14:textId="05D6E8A5" w:rsidR="00746790" w:rsidRPr="00FD1DC0" w:rsidRDefault="000C5688">
            <w:pPr>
              <w:spacing w:after="0" w:line="259" w:lineRule="auto"/>
              <w:ind w:left="0" w:right="4" w:firstLine="0"/>
              <w:jc w:val="center"/>
              <w:rPr>
                <w:lang w:val="es-BO"/>
              </w:rPr>
            </w:pPr>
            <w:r w:rsidRPr="00FD1DC0">
              <w:rPr>
                <w:rFonts w:ascii="Times New Roman" w:eastAsia="Times New Roman" w:hAnsi="Times New Roman" w:cs="Times New Roman"/>
                <w:sz w:val="18"/>
                <w:lang w:val="es-BO"/>
              </w:rPr>
              <w:t>-7.132</w:t>
            </w:r>
            <w:r w:rsidR="00E9600B" w:rsidRPr="00FD1DC0">
              <w:rPr>
                <w:rFonts w:ascii="Times New Roman" w:eastAsia="Times New Roman" w:hAnsi="Times New Roman" w:cs="Times New Roman"/>
                <w:sz w:val="18"/>
                <w:lang w:val="es-BO"/>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5EA1092A" w14:textId="147A0F38" w:rsidR="00746790" w:rsidRPr="00FD1DC0" w:rsidRDefault="000C5688">
            <w:pPr>
              <w:spacing w:after="0" w:line="259" w:lineRule="auto"/>
              <w:ind w:left="0" w:right="1" w:firstLine="0"/>
              <w:jc w:val="center"/>
              <w:rPr>
                <w:lang w:val="es-BO"/>
              </w:rPr>
            </w:pPr>
            <w:r w:rsidRPr="00FD1DC0">
              <w:rPr>
                <w:rFonts w:ascii="Times New Roman" w:eastAsia="Times New Roman" w:hAnsi="Times New Roman" w:cs="Times New Roman"/>
                <w:sz w:val="18"/>
                <w:lang w:val="es-BO"/>
              </w:rPr>
              <w:t>-7.471</w:t>
            </w:r>
            <w:r w:rsidR="00E9600B" w:rsidRPr="00FD1DC0">
              <w:rPr>
                <w:rFonts w:ascii="Times New Roman" w:eastAsia="Times New Roman" w:hAnsi="Times New Roman" w:cs="Times New Roman"/>
                <w:sz w:val="18"/>
                <w:lang w:val="es-BO"/>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62E970C3" w14:textId="26F0245F" w:rsidR="00746790" w:rsidRPr="00FD1DC0" w:rsidRDefault="000C5688">
            <w:pPr>
              <w:spacing w:after="0" w:line="259" w:lineRule="auto"/>
              <w:ind w:left="0" w:right="1" w:firstLine="0"/>
              <w:jc w:val="center"/>
              <w:rPr>
                <w:lang w:val="es-BO"/>
              </w:rPr>
            </w:pPr>
            <w:r w:rsidRPr="00FD1DC0">
              <w:rPr>
                <w:rFonts w:ascii="Times New Roman" w:eastAsia="Times New Roman" w:hAnsi="Times New Roman" w:cs="Times New Roman"/>
                <w:sz w:val="18"/>
                <w:lang w:val="es-BO"/>
              </w:rPr>
              <w:t>-7.132</w:t>
            </w:r>
            <w:r w:rsidR="00E9600B" w:rsidRPr="00FD1DC0">
              <w:rPr>
                <w:rFonts w:ascii="Times New Roman" w:eastAsia="Times New Roman" w:hAnsi="Times New Roman" w:cs="Times New Roman"/>
                <w:sz w:val="18"/>
                <w:lang w:val="es-BO"/>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3097E73F" w14:textId="3F62B974" w:rsidR="00746790" w:rsidRPr="00FD1DC0" w:rsidRDefault="000C5688">
            <w:pPr>
              <w:spacing w:after="0" w:line="259" w:lineRule="auto"/>
              <w:ind w:left="0" w:right="0" w:firstLine="0"/>
              <w:jc w:val="center"/>
              <w:rPr>
                <w:lang w:val="es-BO"/>
              </w:rPr>
            </w:pPr>
            <w:r w:rsidRPr="00FD1DC0">
              <w:rPr>
                <w:rFonts w:ascii="Times New Roman" w:eastAsia="Times New Roman" w:hAnsi="Times New Roman" w:cs="Times New Roman"/>
                <w:sz w:val="18"/>
                <w:lang w:val="es-BO"/>
              </w:rPr>
              <w:t>-0.02821</w:t>
            </w:r>
          </w:p>
        </w:tc>
      </w:tr>
    </w:tbl>
    <w:p w14:paraId="63C2B822" w14:textId="77DA66AE" w:rsidR="00746790" w:rsidRPr="00FD1DC0" w:rsidRDefault="00E9600B">
      <w:pPr>
        <w:spacing w:after="115" w:line="259" w:lineRule="auto"/>
        <w:ind w:left="230" w:right="711"/>
        <w:jc w:val="center"/>
        <w:rPr>
          <w:b/>
          <w:sz w:val="16"/>
          <w:lang w:val="es-BO"/>
        </w:rPr>
      </w:pPr>
      <w:r w:rsidRPr="00FD1DC0">
        <w:rPr>
          <w:b/>
          <w:sz w:val="16"/>
          <w:lang w:val="es-BO"/>
        </w:rPr>
        <w:t xml:space="preserve">Elaboración propia, Donde T es el Nro. de observaciones </w:t>
      </w:r>
    </w:p>
    <w:p w14:paraId="7AE8CCD2" w14:textId="77777777" w:rsidR="00746790" w:rsidRPr="00FD1DC0" w:rsidRDefault="00E9600B" w:rsidP="00C61DFF">
      <w:pPr>
        <w:pStyle w:val="Ttulo4"/>
        <w:ind w:left="0" w:right="5" w:firstLine="0"/>
        <w:rPr>
          <w:lang w:val="es-BO"/>
        </w:rPr>
      </w:pPr>
      <w:r w:rsidRPr="00FD1DC0">
        <w:rPr>
          <w:lang w:val="es-BO"/>
        </w:rPr>
        <w:t>Cuadro 6</w:t>
      </w:r>
    </w:p>
    <w:p w14:paraId="5006826F" w14:textId="77777777" w:rsidR="00746790" w:rsidRPr="00FD1DC0" w:rsidRDefault="00E9600B">
      <w:pPr>
        <w:spacing w:after="8" w:line="250" w:lineRule="auto"/>
        <w:ind w:left="2924" w:right="158" w:hanging="1786"/>
        <w:jc w:val="left"/>
        <w:rPr>
          <w:lang w:val="es-BO"/>
        </w:rPr>
      </w:pPr>
      <w:r w:rsidRPr="00FD1DC0">
        <w:rPr>
          <w:b/>
          <w:sz w:val="20"/>
          <w:lang w:val="es-BO"/>
        </w:rPr>
        <w:t xml:space="preserve">Criterios de selección de retardos de estadísticos no paramétricos para el modelo MSAR (q) para Brasil </w:t>
      </w:r>
    </w:p>
    <w:tbl>
      <w:tblPr>
        <w:tblStyle w:val="TableGrid"/>
        <w:tblW w:w="6455" w:type="dxa"/>
        <w:tblInd w:w="1075" w:type="dxa"/>
        <w:tblCellMar>
          <w:top w:w="8" w:type="dxa"/>
          <w:left w:w="115" w:type="dxa"/>
          <w:right w:w="115" w:type="dxa"/>
        </w:tblCellMar>
        <w:tblLook w:val="04A0" w:firstRow="1" w:lastRow="0" w:firstColumn="1" w:lastColumn="0" w:noHBand="0" w:noVBand="1"/>
      </w:tblPr>
      <w:tblGrid>
        <w:gridCol w:w="1056"/>
        <w:gridCol w:w="946"/>
        <w:gridCol w:w="1068"/>
        <w:gridCol w:w="1846"/>
        <w:gridCol w:w="1539"/>
      </w:tblGrid>
      <w:tr w:rsidR="00746790" w:rsidRPr="00FD1DC0" w14:paraId="031DF309"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24C6B6C4"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b/>
                <w:sz w:val="18"/>
              </w:rPr>
              <w:t xml:space="preserve">Rezago q </w:t>
            </w:r>
          </w:p>
        </w:tc>
        <w:tc>
          <w:tcPr>
            <w:tcW w:w="946" w:type="dxa"/>
            <w:tcBorders>
              <w:top w:val="single" w:sz="4" w:space="0" w:color="000000"/>
              <w:left w:val="single" w:sz="4" w:space="0" w:color="000000"/>
              <w:bottom w:val="single" w:sz="4" w:space="0" w:color="000000"/>
              <w:right w:val="single" w:sz="4" w:space="0" w:color="000000"/>
            </w:tcBorders>
          </w:tcPr>
          <w:p w14:paraId="765E39E4" w14:textId="77777777" w:rsidR="00746790" w:rsidRPr="00FD1DC0" w:rsidRDefault="00E9600B">
            <w:pPr>
              <w:spacing w:after="0" w:line="259" w:lineRule="auto"/>
              <w:ind w:left="0" w:right="5" w:firstLine="0"/>
              <w:jc w:val="center"/>
            </w:pPr>
            <w:r w:rsidRPr="00FD1DC0">
              <w:rPr>
                <w:rFonts w:ascii="Times New Roman" w:eastAsia="Times New Roman" w:hAnsi="Times New Roman" w:cs="Times New Roman"/>
                <w:b/>
                <w:sz w:val="18"/>
              </w:rPr>
              <w:t xml:space="preserve">Akaike </w:t>
            </w:r>
          </w:p>
        </w:tc>
        <w:tc>
          <w:tcPr>
            <w:tcW w:w="1068" w:type="dxa"/>
            <w:tcBorders>
              <w:top w:val="single" w:sz="4" w:space="0" w:color="000000"/>
              <w:left w:val="single" w:sz="4" w:space="0" w:color="000000"/>
              <w:bottom w:val="single" w:sz="4" w:space="0" w:color="000000"/>
              <w:right w:val="single" w:sz="4" w:space="0" w:color="000000"/>
            </w:tcBorders>
          </w:tcPr>
          <w:p w14:paraId="17DFE4FA" w14:textId="77777777" w:rsidR="00746790" w:rsidRPr="00FD1DC0" w:rsidRDefault="00E9600B">
            <w:pPr>
              <w:spacing w:after="0" w:line="259" w:lineRule="auto"/>
              <w:ind w:left="0" w:right="0" w:firstLine="0"/>
              <w:jc w:val="center"/>
            </w:pPr>
            <w:r w:rsidRPr="00FD1DC0">
              <w:rPr>
                <w:rFonts w:ascii="Times New Roman" w:eastAsia="Times New Roman" w:hAnsi="Times New Roman" w:cs="Times New Roman"/>
                <w:b/>
                <w:sz w:val="18"/>
              </w:rPr>
              <w:t xml:space="preserve">Schwarz </w:t>
            </w:r>
          </w:p>
        </w:tc>
        <w:tc>
          <w:tcPr>
            <w:tcW w:w="1846" w:type="dxa"/>
            <w:tcBorders>
              <w:top w:val="single" w:sz="4" w:space="0" w:color="000000"/>
              <w:left w:val="single" w:sz="4" w:space="0" w:color="000000"/>
              <w:bottom w:val="single" w:sz="4" w:space="0" w:color="000000"/>
              <w:right w:val="single" w:sz="4" w:space="0" w:color="000000"/>
            </w:tcBorders>
          </w:tcPr>
          <w:p w14:paraId="03601C1F" w14:textId="77777777" w:rsidR="00746790" w:rsidRPr="00FD1DC0" w:rsidRDefault="00E9600B">
            <w:pPr>
              <w:spacing w:after="0" w:line="259" w:lineRule="auto"/>
              <w:ind w:left="0" w:right="3" w:firstLine="0"/>
              <w:jc w:val="center"/>
            </w:pPr>
            <w:r w:rsidRPr="00FD1DC0">
              <w:rPr>
                <w:rFonts w:ascii="Times New Roman" w:eastAsia="Times New Roman" w:hAnsi="Times New Roman" w:cs="Times New Roman"/>
                <w:b/>
                <w:sz w:val="18"/>
              </w:rPr>
              <w:t xml:space="preserve">Hannan-Quinn </w:t>
            </w:r>
          </w:p>
        </w:tc>
        <w:tc>
          <w:tcPr>
            <w:tcW w:w="1539" w:type="dxa"/>
            <w:tcBorders>
              <w:top w:val="single" w:sz="4" w:space="0" w:color="000000"/>
              <w:left w:val="single" w:sz="4" w:space="0" w:color="000000"/>
              <w:bottom w:val="single" w:sz="4" w:space="0" w:color="000000"/>
              <w:right w:val="single" w:sz="4" w:space="0" w:color="000000"/>
            </w:tcBorders>
          </w:tcPr>
          <w:p w14:paraId="192387D0" w14:textId="77777777" w:rsidR="00746790" w:rsidRPr="00FD1DC0" w:rsidRDefault="00E9600B">
            <w:pPr>
              <w:spacing w:after="0" w:line="259" w:lineRule="auto"/>
              <w:ind w:left="0" w:right="6" w:firstLine="0"/>
              <w:jc w:val="center"/>
            </w:pPr>
            <w:r w:rsidRPr="00FD1DC0">
              <w:rPr>
                <w:rFonts w:ascii="Times New Roman" w:eastAsia="Times New Roman" w:hAnsi="Times New Roman" w:cs="Times New Roman"/>
                <w:b/>
                <w:sz w:val="18"/>
              </w:rPr>
              <w:t>Akaike/T</w:t>
            </w:r>
            <w:r w:rsidRPr="00FD1DC0">
              <w:rPr>
                <w:rFonts w:ascii="Times New Roman" w:eastAsia="Times New Roman" w:hAnsi="Times New Roman" w:cs="Times New Roman"/>
                <w:b/>
                <w:sz w:val="18"/>
                <w:vertAlign w:val="superscript"/>
              </w:rPr>
              <w:t xml:space="preserve"> </w:t>
            </w:r>
          </w:p>
        </w:tc>
      </w:tr>
      <w:tr w:rsidR="00746790" w:rsidRPr="00FD1DC0" w14:paraId="7D574401"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2F0143C9"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5 </w:t>
            </w:r>
          </w:p>
        </w:tc>
        <w:tc>
          <w:tcPr>
            <w:tcW w:w="946" w:type="dxa"/>
            <w:tcBorders>
              <w:top w:val="single" w:sz="4" w:space="0" w:color="000000"/>
              <w:left w:val="single" w:sz="4" w:space="0" w:color="000000"/>
              <w:bottom w:val="single" w:sz="4" w:space="0" w:color="000000"/>
              <w:right w:val="single" w:sz="4" w:space="0" w:color="000000"/>
            </w:tcBorders>
          </w:tcPr>
          <w:p w14:paraId="5E92539B" w14:textId="1B42D393" w:rsidR="00746790" w:rsidRPr="00FD1DC0" w:rsidRDefault="00BC71F8">
            <w:pPr>
              <w:spacing w:after="0" w:line="259" w:lineRule="auto"/>
              <w:ind w:left="0" w:right="4" w:firstLine="0"/>
              <w:jc w:val="center"/>
            </w:pPr>
            <w:r w:rsidRPr="00FD1DC0">
              <w:rPr>
                <w:rFonts w:ascii="Times New Roman" w:eastAsia="Times New Roman" w:hAnsi="Times New Roman" w:cs="Times New Roman"/>
                <w:sz w:val="18"/>
              </w:rPr>
              <w:t>-6.254</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2E9E4D22" w14:textId="7951B9F3"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-6.2</w:t>
            </w:r>
            <w:r w:rsidR="00576A53" w:rsidRPr="00FD1DC0">
              <w:rPr>
                <w:rFonts w:ascii="Times New Roman" w:eastAsia="Times New Roman" w:hAnsi="Times New Roman" w:cs="Times New Roman"/>
                <w:sz w:val="18"/>
              </w:rPr>
              <w:t>4</w:t>
            </w:r>
            <w:r w:rsidRPr="00FD1DC0">
              <w:rPr>
                <w:rFonts w:ascii="Times New Roman" w:eastAsia="Times New Roman" w:hAnsi="Times New Roman" w:cs="Times New Roman"/>
                <w:sz w:val="18"/>
              </w:rPr>
              <w:t>3</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0A01D371" w14:textId="0AA16361"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-6.2</w:t>
            </w:r>
            <w:r w:rsidR="00576A53" w:rsidRPr="00FD1DC0">
              <w:rPr>
                <w:rFonts w:ascii="Times New Roman" w:eastAsia="Times New Roman" w:hAnsi="Times New Roman" w:cs="Times New Roman"/>
                <w:sz w:val="18"/>
              </w:rPr>
              <w:t>2</w:t>
            </w:r>
            <w:r w:rsidRPr="00FD1DC0">
              <w:rPr>
                <w:rFonts w:ascii="Times New Roman" w:eastAsia="Times New Roman" w:hAnsi="Times New Roman" w:cs="Times New Roman"/>
                <w:sz w:val="18"/>
              </w:rPr>
              <w:t>4</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03195179" w14:textId="3C0BE0F9" w:rsidR="00746790" w:rsidRPr="00FD1DC0" w:rsidRDefault="00BC71F8">
            <w:pPr>
              <w:spacing w:after="0" w:line="259" w:lineRule="auto"/>
              <w:ind w:left="0" w:right="0" w:firstLine="0"/>
              <w:jc w:val="center"/>
            </w:pPr>
            <w:r w:rsidRPr="00FD1DC0">
              <w:rPr>
                <w:rFonts w:ascii="Times New Roman" w:eastAsia="Times New Roman" w:hAnsi="Times New Roman" w:cs="Times New Roman"/>
                <w:sz w:val="18"/>
              </w:rPr>
              <w:t>-0.03</w:t>
            </w:r>
            <w:r w:rsidR="00576A53" w:rsidRPr="00FD1DC0">
              <w:rPr>
                <w:rFonts w:ascii="Times New Roman" w:eastAsia="Times New Roman" w:hAnsi="Times New Roman" w:cs="Times New Roman"/>
                <w:sz w:val="18"/>
              </w:rPr>
              <w:t>33</w:t>
            </w:r>
            <w:r w:rsidRPr="00FD1DC0">
              <w:rPr>
                <w:rFonts w:ascii="Times New Roman" w:eastAsia="Times New Roman" w:hAnsi="Times New Roman" w:cs="Times New Roman"/>
                <w:sz w:val="18"/>
              </w:rPr>
              <w:t>2</w:t>
            </w:r>
            <w:r w:rsidR="00E9600B" w:rsidRPr="00FD1DC0">
              <w:rPr>
                <w:rFonts w:ascii="Times New Roman" w:eastAsia="Times New Roman" w:hAnsi="Times New Roman" w:cs="Times New Roman"/>
                <w:sz w:val="18"/>
              </w:rPr>
              <w:t xml:space="preserve"> </w:t>
            </w:r>
          </w:p>
        </w:tc>
      </w:tr>
      <w:tr w:rsidR="00746790" w:rsidRPr="00FD1DC0" w14:paraId="5293BE9C" w14:textId="77777777">
        <w:trPr>
          <w:trHeight w:val="422"/>
        </w:trPr>
        <w:tc>
          <w:tcPr>
            <w:tcW w:w="1057" w:type="dxa"/>
            <w:tcBorders>
              <w:top w:val="single" w:sz="4" w:space="0" w:color="000000"/>
              <w:left w:val="single" w:sz="4" w:space="0" w:color="000000"/>
              <w:bottom w:val="single" w:sz="4" w:space="0" w:color="000000"/>
              <w:right w:val="single" w:sz="4" w:space="0" w:color="000000"/>
            </w:tcBorders>
          </w:tcPr>
          <w:p w14:paraId="17D8CB49"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4  </w:t>
            </w:r>
          </w:p>
        </w:tc>
        <w:tc>
          <w:tcPr>
            <w:tcW w:w="946" w:type="dxa"/>
            <w:tcBorders>
              <w:top w:val="single" w:sz="4" w:space="0" w:color="000000"/>
              <w:left w:val="single" w:sz="4" w:space="0" w:color="000000"/>
              <w:bottom w:val="single" w:sz="4" w:space="0" w:color="000000"/>
              <w:right w:val="single" w:sz="4" w:space="0" w:color="000000"/>
            </w:tcBorders>
          </w:tcPr>
          <w:p w14:paraId="72FB6FBB" w14:textId="48CE639E" w:rsidR="00746790" w:rsidRPr="00FD1DC0" w:rsidRDefault="00BC71F8">
            <w:pPr>
              <w:spacing w:after="0" w:line="259" w:lineRule="auto"/>
              <w:ind w:left="0" w:right="4" w:firstLine="0"/>
              <w:jc w:val="center"/>
            </w:pPr>
            <w:r w:rsidRPr="00FD1DC0">
              <w:rPr>
                <w:rFonts w:ascii="Times New Roman" w:eastAsia="Times New Roman" w:hAnsi="Times New Roman" w:cs="Times New Roman"/>
                <w:sz w:val="18"/>
              </w:rPr>
              <w:t>-6.132</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32FA4C53" w14:textId="09E19EEC"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-6.3</w:t>
            </w:r>
            <w:r w:rsidR="00576A53" w:rsidRPr="00FD1DC0">
              <w:rPr>
                <w:rFonts w:ascii="Times New Roman" w:eastAsia="Times New Roman" w:hAnsi="Times New Roman" w:cs="Times New Roman"/>
                <w:sz w:val="18"/>
              </w:rPr>
              <w:t>5</w:t>
            </w:r>
            <w:r w:rsidRPr="00FD1DC0">
              <w:rPr>
                <w:rFonts w:ascii="Times New Roman" w:eastAsia="Times New Roman" w:hAnsi="Times New Roman" w:cs="Times New Roman"/>
                <w:sz w:val="18"/>
              </w:rPr>
              <w:t>4</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474EDB80" w14:textId="273350DD"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-6.2</w:t>
            </w:r>
            <w:r w:rsidR="00576A53" w:rsidRPr="00FD1DC0">
              <w:rPr>
                <w:rFonts w:ascii="Times New Roman" w:eastAsia="Times New Roman" w:hAnsi="Times New Roman" w:cs="Times New Roman"/>
                <w:sz w:val="18"/>
              </w:rPr>
              <w:t>2</w:t>
            </w:r>
            <w:r w:rsidRPr="00FD1DC0">
              <w:rPr>
                <w:rFonts w:ascii="Times New Roman" w:eastAsia="Times New Roman" w:hAnsi="Times New Roman" w:cs="Times New Roman"/>
                <w:sz w:val="18"/>
              </w:rPr>
              <w:t>1</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3747A50D" w14:textId="78958767" w:rsidR="00746790" w:rsidRPr="00FD1DC0" w:rsidRDefault="00BC71F8">
            <w:pPr>
              <w:spacing w:after="0" w:line="259" w:lineRule="auto"/>
              <w:ind w:left="0" w:right="0" w:firstLine="0"/>
              <w:jc w:val="center"/>
            </w:pPr>
            <w:r w:rsidRPr="00FD1DC0">
              <w:rPr>
                <w:rFonts w:ascii="Times New Roman" w:eastAsia="Times New Roman" w:hAnsi="Times New Roman" w:cs="Times New Roman"/>
                <w:sz w:val="18"/>
              </w:rPr>
              <w:t>-0.03</w:t>
            </w:r>
            <w:r w:rsidR="00576A53" w:rsidRPr="00FD1DC0">
              <w:rPr>
                <w:rFonts w:ascii="Times New Roman" w:eastAsia="Times New Roman" w:hAnsi="Times New Roman" w:cs="Times New Roman"/>
                <w:sz w:val="18"/>
              </w:rPr>
              <w:t>23</w:t>
            </w:r>
            <w:r w:rsidRPr="00FD1DC0">
              <w:rPr>
                <w:rFonts w:ascii="Times New Roman" w:eastAsia="Times New Roman" w:hAnsi="Times New Roman" w:cs="Times New Roman"/>
                <w:sz w:val="18"/>
              </w:rPr>
              <w:t>4</w:t>
            </w:r>
            <w:r w:rsidR="00E9600B" w:rsidRPr="00FD1DC0">
              <w:rPr>
                <w:rFonts w:ascii="Times New Roman" w:eastAsia="Times New Roman" w:hAnsi="Times New Roman" w:cs="Times New Roman"/>
                <w:sz w:val="18"/>
              </w:rPr>
              <w:t xml:space="preserve"> </w:t>
            </w:r>
          </w:p>
        </w:tc>
      </w:tr>
      <w:tr w:rsidR="00746790" w:rsidRPr="00FD1DC0" w14:paraId="3D380D79"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09044D2D"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3  </w:t>
            </w:r>
          </w:p>
        </w:tc>
        <w:tc>
          <w:tcPr>
            <w:tcW w:w="946" w:type="dxa"/>
            <w:tcBorders>
              <w:top w:val="single" w:sz="4" w:space="0" w:color="000000"/>
              <w:left w:val="single" w:sz="4" w:space="0" w:color="000000"/>
              <w:bottom w:val="single" w:sz="4" w:space="0" w:color="000000"/>
              <w:right w:val="single" w:sz="4" w:space="0" w:color="000000"/>
            </w:tcBorders>
          </w:tcPr>
          <w:p w14:paraId="05117D69" w14:textId="2A39AF96" w:rsidR="00746790" w:rsidRPr="00FD1DC0" w:rsidRDefault="00BC71F8">
            <w:pPr>
              <w:spacing w:after="0" w:line="259" w:lineRule="auto"/>
              <w:ind w:left="0" w:right="4" w:firstLine="0"/>
              <w:jc w:val="center"/>
            </w:pPr>
            <w:r w:rsidRPr="00FD1DC0">
              <w:rPr>
                <w:rFonts w:ascii="Times New Roman" w:eastAsia="Times New Roman" w:hAnsi="Times New Roman" w:cs="Times New Roman"/>
                <w:sz w:val="18"/>
              </w:rPr>
              <w:t>-6.724</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0B04D241" w14:textId="4FA17EBC"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-6.3</w:t>
            </w:r>
            <w:r w:rsidR="00576A53" w:rsidRPr="00FD1DC0">
              <w:rPr>
                <w:rFonts w:ascii="Times New Roman" w:eastAsia="Times New Roman" w:hAnsi="Times New Roman" w:cs="Times New Roman"/>
                <w:sz w:val="18"/>
              </w:rPr>
              <w:t>6</w:t>
            </w:r>
            <w:r w:rsidRPr="00FD1DC0">
              <w:rPr>
                <w:rFonts w:ascii="Times New Roman" w:eastAsia="Times New Roman" w:hAnsi="Times New Roman" w:cs="Times New Roman"/>
                <w:sz w:val="18"/>
              </w:rPr>
              <w:t>4</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5302C86D" w14:textId="79207FFB"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-6.3</w:t>
            </w:r>
            <w:r w:rsidR="00576A53" w:rsidRPr="00FD1DC0">
              <w:rPr>
                <w:rFonts w:ascii="Times New Roman" w:eastAsia="Times New Roman" w:hAnsi="Times New Roman" w:cs="Times New Roman"/>
                <w:sz w:val="18"/>
              </w:rPr>
              <w:t>6</w:t>
            </w:r>
            <w:r w:rsidRPr="00FD1DC0">
              <w:rPr>
                <w:rFonts w:ascii="Times New Roman" w:eastAsia="Times New Roman" w:hAnsi="Times New Roman" w:cs="Times New Roman"/>
                <w:sz w:val="18"/>
              </w:rPr>
              <w:t>5</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2CCFDC02" w14:textId="4E18108B" w:rsidR="00746790" w:rsidRPr="00FD1DC0" w:rsidRDefault="00BC71F8">
            <w:pPr>
              <w:spacing w:after="0" w:line="259" w:lineRule="auto"/>
              <w:ind w:left="0" w:right="0" w:firstLine="0"/>
              <w:jc w:val="center"/>
            </w:pPr>
            <w:r w:rsidRPr="00FD1DC0">
              <w:rPr>
                <w:rFonts w:ascii="Times New Roman" w:eastAsia="Times New Roman" w:hAnsi="Times New Roman" w:cs="Times New Roman"/>
                <w:sz w:val="18"/>
              </w:rPr>
              <w:t>-0.03</w:t>
            </w:r>
            <w:r w:rsidR="00576A53" w:rsidRPr="00FD1DC0">
              <w:rPr>
                <w:rFonts w:ascii="Times New Roman" w:eastAsia="Times New Roman" w:hAnsi="Times New Roman" w:cs="Times New Roman"/>
                <w:sz w:val="18"/>
              </w:rPr>
              <w:t>52</w:t>
            </w:r>
            <w:r w:rsidRPr="00FD1DC0">
              <w:rPr>
                <w:rFonts w:ascii="Times New Roman" w:eastAsia="Times New Roman" w:hAnsi="Times New Roman" w:cs="Times New Roman"/>
                <w:sz w:val="18"/>
              </w:rPr>
              <w:t>1</w:t>
            </w:r>
            <w:r w:rsidR="00E9600B" w:rsidRPr="00FD1DC0">
              <w:rPr>
                <w:rFonts w:ascii="Times New Roman" w:eastAsia="Times New Roman" w:hAnsi="Times New Roman" w:cs="Times New Roman"/>
                <w:sz w:val="18"/>
              </w:rPr>
              <w:t xml:space="preserve"> </w:t>
            </w:r>
          </w:p>
        </w:tc>
      </w:tr>
      <w:tr w:rsidR="00746790" w:rsidRPr="00FD1DC0" w14:paraId="35349DE7" w14:textId="77777777">
        <w:trPr>
          <w:trHeight w:val="425"/>
        </w:trPr>
        <w:tc>
          <w:tcPr>
            <w:tcW w:w="1057" w:type="dxa"/>
            <w:tcBorders>
              <w:top w:val="single" w:sz="4" w:space="0" w:color="000000"/>
              <w:left w:val="single" w:sz="4" w:space="0" w:color="000000"/>
              <w:bottom w:val="single" w:sz="4" w:space="0" w:color="000000"/>
              <w:right w:val="single" w:sz="4" w:space="0" w:color="000000"/>
            </w:tcBorders>
          </w:tcPr>
          <w:p w14:paraId="2A699F25"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b/>
                <w:sz w:val="18"/>
              </w:rPr>
              <w:t xml:space="preserve">2 </w:t>
            </w:r>
          </w:p>
        </w:tc>
        <w:tc>
          <w:tcPr>
            <w:tcW w:w="946" w:type="dxa"/>
            <w:tcBorders>
              <w:top w:val="single" w:sz="4" w:space="0" w:color="000000"/>
              <w:left w:val="single" w:sz="4" w:space="0" w:color="000000"/>
              <w:bottom w:val="single" w:sz="4" w:space="0" w:color="000000"/>
              <w:right w:val="single" w:sz="4" w:space="0" w:color="000000"/>
            </w:tcBorders>
          </w:tcPr>
          <w:p w14:paraId="310B0D28" w14:textId="520C2B01" w:rsidR="00746790" w:rsidRPr="00FD1DC0" w:rsidRDefault="00BC71F8">
            <w:pPr>
              <w:spacing w:after="0" w:line="259" w:lineRule="auto"/>
              <w:ind w:left="0" w:right="4" w:firstLine="0"/>
              <w:jc w:val="center"/>
            </w:pPr>
            <w:r w:rsidRPr="00FD1DC0">
              <w:rPr>
                <w:rFonts w:ascii="Times New Roman" w:eastAsia="Times New Roman" w:hAnsi="Times New Roman" w:cs="Times New Roman"/>
                <w:b/>
                <w:sz w:val="18"/>
              </w:rPr>
              <w:t>-6.946</w:t>
            </w:r>
            <w:r w:rsidR="00E9600B" w:rsidRPr="00FD1DC0">
              <w:rPr>
                <w:rFonts w:ascii="Times New Roman" w:eastAsia="Times New Roman" w:hAnsi="Times New Roman" w:cs="Times New Roman"/>
                <w:b/>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100492A6" w14:textId="7B7C748E" w:rsidR="00746790" w:rsidRPr="00FD1DC0" w:rsidRDefault="00BC71F8">
            <w:pPr>
              <w:spacing w:after="0" w:line="259" w:lineRule="auto"/>
              <w:ind w:left="0" w:right="2" w:firstLine="0"/>
              <w:jc w:val="center"/>
            </w:pPr>
            <w:r w:rsidRPr="00FD1DC0">
              <w:rPr>
                <w:rFonts w:ascii="Times New Roman" w:eastAsia="Times New Roman" w:hAnsi="Times New Roman" w:cs="Times New Roman"/>
                <w:b/>
                <w:sz w:val="18"/>
              </w:rPr>
              <w:t>-6.7</w:t>
            </w:r>
            <w:r w:rsidR="00576A53" w:rsidRPr="00FD1DC0">
              <w:rPr>
                <w:rFonts w:ascii="Times New Roman" w:eastAsia="Times New Roman" w:hAnsi="Times New Roman" w:cs="Times New Roman"/>
                <w:b/>
                <w:sz w:val="18"/>
              </w:rPr>
              <w:t>1</w:t>
            </w:r>
            <w:r w:rsidRPr="00FD1DC0">
              <w:rPr>
                <w:rFonts w:ascii="Times New Roman" w:eastAsia="Times New Roman" w:hAnsi="Times New Roman" w:cs="Times New Roman"/>
                <w:b/>
                <w:sz w:val="18"/>
              </w:rPr>
              <w:t>1</w:t>
            </w:r>
            <w:r w:rsidR="00E9600B" w:rsidRPr="00FD1DC0">
              <w:rPr>
                <w:rFonts w:ascii="Times New Roman" w:eastAsia="Times New Roman" w:hAnsi="Times New Roman" w:cs="Times New Roman"/>
                <w:b/>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1A7A98FD" w14:textId="24B8746D" w:rsidR="00746790" w:rsidRPr="00FD1DC0" w:rsidRDefault="00BC71F8">
            <w:pPr>
              <w:spacing w:after="0" w:line="259" w:lineRule="auto"/>
              <w:ind w:left="0" w:right="1" w:firstLine="0"/>
              <w:jc w:val="center"/>
            </w:pPr>
            <w:r w:rsidRPr="00FD1DC0">
              <w:rPr>
                <w:rFonts w:ascii="Times New Roman" w:eastAsia="Times New Roman" w:hAnsi="Times New Roman" w:cs="Times New Roman"/>
                <w:b/>
                <w:sz w:val="18"/>
              </w:rPr>
              <w:t>-6.9</w:t>
            </w:r>
            <w:r w:rsidR="00576A53" w:rsidRPr="00FD1DC0">
              <w:rPr>
                <w:rFonts w:ascii="Times New Roman" w:eastAsia="Times New Roman" w:hAnsi="Times New Roman" w:cs="Times New Roman"/>
                <w:b/>
                <w:sz w:val="18"/>
              </w:rPr>
              <w:t>1</w:t>
            </w:r>
            <w:r w:rsidRPr="00FD1DC0">
              <w:rPr>
                <w:rFonts w:ascii="Times New Roman" w:eastAsia="Times New Roman" w:hAnsi="Times New Roman" w:cs="Times New Roman"/>
                <w:b/>
                <w:sz w:val="18"/>
              </w:rPr>
              <w:t>6</w:t>
            </w:r>
            <w:r w:rsidR="00E9600B" w:rsidRPr="00FD1DC0">
              <w:rPr>
                <w:rFonts w:ascii="Times New Roman" w:eastAsia="Times New Roman" w:hAnsi="Times New Roman" w:cs="Times New Roman"/>
                <w:b/>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6C4BDB9A" w14:textId="2C728B8D" w:rsidR="00746790" w:rsidRPr="00FD1DC0" w:rsidRDefault="00BC71F8">
            <w:pPr>
              <w:spacing w:after="0" w:line="259" w:lineRule="auto"/>
              <w:ind w:left="0" w:right="0" w:firstLine="0"/>
              <w:jc w:val="center"/>
            </w:pPr>
            <w:r w:rsidRPr="00FD1DC0">
              <w:rPr>
                <w:rFonts w:ascii="Times New Roman" w:eastAsia="Times New Roman" w:hAnsi="Times New Roman" w:cs="Times New Roman"/>
                <w:b/>
                <w:sz w:val="18"/>
              </w:rPr>
              <w:t>-0.05259</w:t>
            </w:r>
            <w:r w:rsidR="00E9600B" w:rsidRPr="00FD1DC0">
              <w:rPr>
                <w:rFonts w:ascii="Times New Roman" w:eastAsia="Times New Roman" w:hAnsi="Times New Roman" w:cs="Times New Roman"/>
                <w:b/>
                <w:sz w:val="18"/>
              </w:rPr>
              <w:t xml:space="preserve"> </w:t>
            </w:r>
          </w:p>
        </w:tc>
      </w:tr>
      <w:tr w:rsidR="00746790" w:rsidRPr="00FD1DC0" w14:paraId="4DFD8F20" w14:textId="77777777">
        <w:trPr>
          <w:trHeight w:val="422"/>
        </w:trPr>
        <w:tc>
          <w:tcPr>
            <w:tcW w:w="1057" w:type="dxa"/>
            <w:tcBorders>
              <w:top w:val="single" w:sz="4" w:space="0" w:color="000000"/>
              <w:left w:val="single" w:sz="4" w:space="0" w:color="000000"/>
              <w:bottom w:val="single" w:sz="4" w:space="0" w:color="000000"/>
              <w:right w:val="single" w:sz="4" w:space="0" w:color="000000"/>
            </w:tcBorders>
          </w:tcPr>
          <w:p w14:paraId="3E9A839B" w14:textId="77777777" w:rsidR="00746790" w:rsidRPr="00FD1DC0" w:rsidRDefault="00E9600B">
            <w:pPr>
              <w:spacing w:after="0" w:line="259" w:lineRule="auto"/>
              <w:ind w:left="0" w:right="2" w:firstLine="0"/>
              <w:jc w:val="center"/>
            </w:pPr>
            <w:r w:rsidRPr="00FD1DC0">
              <w:rPr>
                <w:rFonts w:ascii="Times New Roman" w:eastAsia="Times New Roman" w:hAnsi="Times New Roman" w:cs="Times New Roman"/>
                <w:sz w:val="18"/>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48B79F3C" w14:textId="2C37E363" w:rsidR="00746790" w:rsidRPr="00FD1DC0" w:rsidRDefault="00BC71F8">
            <w:pPr>
              <w:spacing w:after="0" w:line="259" w:lineRule="auto"/>
              <w:ind w:left="0" w:right="4" w:firstLine="0"/>
              <w:jc w:val="center"/>
            </w:pPr>
            <w:r w:rsidRPr="00FD1DC0">
              <w:rPr>
                <w:rFonts w:ascii="Times New Roman" w:eastAsia="Times New Roman" w:hAnsi="Times New Roman" w:cs="Times New Roman"/>
                <w:sz w:val="18"/>
              </w:rPr>
              <w:t>-6.231</w:t>
            </w:r>
            <w:r w:rsidR="00E9600B" w:rsidRPr="00FD1DC0">
              <w:rPr>
                <w:rFonts w:ascii="Times New Roman" w:eastAsia="Times New Roman" w:hAnsi="Times New Roman" w:cs="Times New Roman"/>
                <w:sz w:val="18"/>
              </w:rP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4764970A" w14:textId="110A3FA2"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-6.2</w:t>
            </w:r>
            <w:r w:rsidR="00576A53" w:rsidRPr="00FD1DC0">
              <w:rPr>
                <w:rFonts w:ascii="Times New Roman" w:eastAsia="Times New Roman" w:hAnsi="Times New Roman" w:cs="Times New Roman"/>
                <w:sz w:val="18"/>
              </w:rPr>
              <w:t>2</w:t>
            </w:r>
            <w:r w:rsidRPr="00FD1DC0">
              <w:rPr>
                <w:rFonts w:ascii="Times New Roman" w:eastAsia="Times New Roman" w:hAnsi="Times New Roman" w:cs="Times New Roman"/>
                <w:sz w:val="18"/>
              </w:rPr>
              <w:t>4</w:t>
            </w:r>
            <w:r w:rsidR="00E9600B" w:rsidRPr="00FD1DC0">
              <w:rPr>
                <w:rFonts w:ascii="Times New Roman" w:eastAsia="Times New Roman" w:hAnsi="Times New Roman" w:cs="Times New Roman"/>
                <w:sz w:val="18"/>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79033717" w14:textId="1E6CF2FC" w:rsidR="00746790" w:rsidRPr="00FD1DC0" w:rsidRDefault="00BC71F8">
            <w:pPr>
              <w:spacing w:after="0" w:line="259" w:lineRule="auto"/>
              <w:ind w:left="0" w:right="1" w:firstLine="0"/>
              <w:jc w:val="center"/>
            </w:pPr>
            <w:r w:rsidRPr="00FD1DC0">
              <w:rPr>
                <w:rFonts w:ascii="Times New Roman" w:eastAsia="Times New Roman" w:hAnsi="Times New Roman" w:cs="Times New Roman"/>
                <w:sz w:val="18"/>
              </w:rPr>
              <w:t>-6.4</w:t>
            </w:r>
            <w:r w:rsidR="00576A53" w:rsidRPr="00FD1DC0">
              <w:rPr>
                <w:rFonts w:ascii="Times New Roman" w:eastAsia="Times New Roman" w:hAnsi="Times New Roman" w:cs="Times New Roman"/>
                <w:sz w:val="18"/>
              </w:rPr>
              <w:t>4</w:t>
            </w:r>
            <w:r w:rsidRPr="00FD1DC0">
              <w:rPr>
                <w:rFonts w:ascii="Times New Roman" w:eastAsia="Times New Roman" w:hAnsi="Times New Roman" w:cs="Times New Roman"/>
                <w:sz w:val="18"/>
              </w:rPr>
              <w:t>3</w:t>
            </w:r>
            <w:r w:rsidR="00E9600B" w:rsidRPr="00FD1DC0">
              <w:rPr>
                <w:rFonts w:ascii="Times New Roman" w:eastAsia="Times New Roman" w:hAnsi="Times New Roman" w:cs="Times New Roman"/>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0B65731B" w14:textId="59E2328C" w:rsidR="00746790" w:rsidRPr="00FD1DC0" w:rsidRDefault="00BC71F8">
            <w:pPr>
              <w:spacing w:after="0" w:line="259" w:lineRule="auto"/>
              <w:ind w:left="0" w:right="0" w:firstLine="0"/>
              <w:jc w:val="center"/>
            </w:pPr>
            <w:r w:rsidRPr="00FD1DC0">
              <w:rPr>
                <w:rFonts w:ascii="Times New Roman" w:eastAsia="Times New Roman" w:hAnsi="Times New Roman" w:cs="Times New Roman"/>
                <w:sz w:val="18"/>
              </w:rPr>
              <w:t>-0.03324</w:t>
            </w:r>
            <w:r w:rsidR="00E9600B" w:rsidRPr="00FD1DC0">
              <w:rPr>
                <w:rFonts w:ascii="Times New Roman" w:eastAsia="Times New Roman" w:hAnsi="Times New Roman" w:cs="Times New Roman"/>
                <w:sz w:val="18"/>
              </w:rPr>
              <w:t xml:space="preserve"> </w:t>
            </w:r>
          </w:p>
        </w:tc>
      </w:tr>
    </w:tbl>
    <w:p w14:paraId="74667EBC" w14:textId="4B612F47" w:rsidR="00746790" w:rsidRPr="002E6497" w:rsidRDefault="00E9600B" w:rsidP="002E6497">
      <w:pPr>
        <w:spacing w:after="115" w:line="259" w:lineRule="auto"/>
        <w:ind w:left="230" w:right="710"/>
        <w:jc w:val="center"/>
        <w:rPr>
          <w:b/>
          <w:sz w:val="16"/>
          <w:lang w:val="es-BO"/>
        </w:rPr>
      </w:pPr>
      <w:r w:rsidRPr="00FD1DC0">
        <w:rPr>
          <w:b/>
          <w:sz w:val="16"/>
          <w:lang w:val="es-BO"/>
        </w:rPr>
        <w:t xml:space="preserve">Elaboración propia, Donde T es el Nro. de observaciones </w:t>
      </w:r>
    </w:p>
    <w:p w14:paraId="1B18F413" w14:textId="77777777" w:rsidR="00746790" w:rsidRPr="00FD1DC0" w:rsidRDefault="00E9600B">
      <w:pPr>
        <w:pStyle w:val="Ttulo4"/>
        <w:ind w:right="5"/>
        <w:rPr>
          <w:lang w:val="es-BO"/>
        </w:rPr>
      </w:pPr>
      <w:r w:rsidRPr="00FD1DC0">
        <w:rPr>
          <w:lang w:val="es-BO"/>
        </w:rPr>
        <w:t>Cuadro 7 Estimaciones del modelo MSAR(2)</w:t>
      </w:r>
      <w:r w:rsidRPr="00FD1DC0">
        <w:rPr>
          <w:b w:val="0"/>
          <w:lang w:val="es-BO"/>
        </w:rPr>
        <w:t xml:space="preserve"> </w:t>
      </w:r>
      <w:r w:rsidRPr="00FD1DC0">
        <w:rPr>
          <w:lang w:val="es-BO"/>
        </w:rPr>
        <w:t xml:space="preserve">y pruebas de </w:t>
      </w:r>
      <w:r w:rsidR="004971EB" w:rsidRPr="00FD1DC0">
        <w:rPr>
          <w:lang w:val="es-BO"/>
        </w:rPr>
        <w:t>diagnóstico</w:t>
      </w:r>
      <w:r w:rsidRPr="00FD1DC0">
        <w:rPr>
          <w:lang w:val="es-BO"/>
        </w:rPr>
        <w:t xml:space="preserve"> del modelo para México Estimaciones del modelo MSAR(2)</w:t>
      </w:r>
      <w:r w:rsidRPr="00FD1DC0">
        <w:rPr>
          <w:b w:val="0"/>
          <w:lang w:val="es-BO"/>
        </w:rPr>
        <w:t xml:space="preserve"> </w:t>
      </w:r>
      <w:r w:rsidRPr="00FD1DC0">
        <w:rPr>
          <w:lang w:val="es-BO"/>
        </w:rPr>
        <w:t xml:space="preserve">y pruebas de </w:t>
      </w:r>
      <w:r w:rsidR="004971EB" w:rsidRPr="00FD1DC0">
        <w:rPr>
          <w:lang w:val="es-BO"/>
        </w:rPr>
        <w:t>diagnóstico</w:t>
      </w:r>
      <w:r w:rsidRPr="00FD1DC0">
        <w:rPr>
          <w:lang w:val="es-BO"/>
        </w:rPr>
        <w:t xml:space="preserve"> del modelo para Brasil </w:t>
      </w:r>
    </w:p>
    <w:tbl>
      <w:tblPr>
        <w:tblStyle w:val="TableGrid"/>
        <w:tblW w:w="7028" w:type="dxa"/>
        <w:tblInd w:w="838" w:type="dxa"/>
        <w:tblLook w:val="04A0" w:firstRow="1" w:lastRow="0" w:firstColumn="1" w:lastColumn="0" w:noHBand="0" w:noVBand="1"/>
      </w:tblPr>
      <w:tblGrid>
        <w:gridCol w:w="2090"/>
        <w:gridCol w:w="2628"/>
        <w:gridCol w:w="1511"/>
        <w:gridCol w:w="799"/>
      </w:tblGrid>
      <w:tr w:rsidR="00746790" w:rsidRPr="00FD1DC0" w14:paraId="647573F2" w14:textId="77777777" w:rsidTr="00373DFF">
        <w:trPr>
          <w:trHeight w:val="212"/>
        </w:trPr>
        <w:tc>
          <w:tcPr>
            <w:tcW w:w="2090" w:type="dxa"/>
            <w:tcBorders>
              <w:top w:val="nil"/>
              <w:left w:val="nil"/>
              <w:bottom w:val="nil"/>
              <w:right w:val="nil"/>
            </w:tcBorders>
          </w:tcPr>
          <w:p w14:paraId="27584775" w14:textId="77777777" w:rsidR="00746790" w:rsidRPr="00FD1DC0" w:rsidRDefault="00E9600B">
            <w:pPr>
              <w:spacing w:after="0" w:line="259" w:lineRule="auto"/>
              <w:ind w:left="0" w:right="147" w:firstLine="0"/>
              <w:jc w:val="center"/>
            </w:pPr>
            <w:r w:rsidRPr="00FD1DC0">
              <w:rPr>
                <w:rFonts w:ascii="Times New Roman" w:eastAsia="Times New Roman" w:hAnsi="Times New Roman" w:cs="Times New Roman"/>
                <w:b/>
                <w:sz w:val="18"/>
              </w:rPr>
              <w:t xml:space="preserve">Variable </w:t>
            </w:r>
          </w:p>
        </w:tc>
        <w:tc>
          <w:tcPr>
            <w:tcW w:w="2628" w:type="dxa"/>
            <w:tcBorders>
              <w:top w:val="nil"/>
              <w:left w:val="nil"/>
              <w:bottom w:val="nil"/>
              <w:right w:val="nil"/>
            </w:tcBorders>
          </w:tcPr>
          <w:p w14:paraId="00BA2315" w14:textId="77777777" w:rsidR="00746790" w:rsidRPr="00FD1DC0" w:rsidRDefault="00E9600B">
            <w:pPr>
              <w:tabs>
                <w:tab w:val="center" w:pos="721"/>
                <w:tab w:val="right" w:pos="2628"/>
              </w:tabs>
              <w:spacing w:after="0" w:line="259" w:lineRule="auto"/>
              <w:ind w:left="0" w:right="0" w:firstLine="0"/>
              <w:jc w:val="left"/>
            </w:pPr>
            <w:r w:rsidRPr="00FD1DC0">
              <w:rPr>
                <w:rFonts w:ascii="Calibri" w:eastAsia="Calibri" w:hAnsi="Calibri" w:cs="Calibri"/>
                <w:sz w:val="22"/>
              </w:rPr>
              <w:tab/>
            </w:r>
            <w:r w:rsidRPr="00FD1DC0">
              <w:rPr>
                <w:rFonts w:ascii="Times New Roman" w:eastAsia="Times New Roman" w:hAnsi="Times New Roman" w:cs="Times New Roman"/>
                <w:b/>
                <w:sz w:val="18"/>
              </w:rPr>
              <w:t xml:space="preserve">Coeficiente </w:t>
            </w:r>
            <w:r w:rsidRPr="00FD1DC0">
              <w:rPr>
                <w:rFonts w:ascii="Times New Roman" w:eastAsia="Times New Roman" w:hAnsi="Times New Roman" w:cs="Times New Roman"/>
                <w:b/>
                <w:sz w:val="18"/>
              </w:rPr>
              <w:tab/>
              <w:t xml:space="preserve">Probabilidad </w:t>
            </w:r>
          </w:p>
        </w:tc>
        <w:tc>
          <w:tcPr>
            <w:tcW w:w="2310" w:type="dxa"/>
            <w:gridSpan w:val="2"/>
            <w:tcBorders>
              <w:top w:val="nil"/>
              <w:left w:val="nil"/>
              <w:bottom w:val="nil"/>
              <w:right w:val="nil"/>
            </w:tcBorders>
          </w:tcPr>
          <w:p w14:paraId="7FE08C5B" w14:textId="050BEF63" w:rsidR="00746790" w:rsidRPr="00FD1DC0" w:rsidRDefault="00365368">
            <w:pPr>
              <w:tabs>
                <w:tab w:val="right" w:pos="2309"/>
              </w:tabs>
              <w:spacing w:after="0" w:line="259" w:lineRule="auto"/>
              <w:ind w:left="0" w:right="0" w:firstLine="0"/>
              <w:jc w:val="left"/>
            </w:pPr>
            <w:r w:rsidRPr="00FD1DC0">
              <w:rPr>
                <w:rFonts w:ascii="Times New Roman" w:eastAsia="Times New Roman" w:hAnsi="Times New Roman" w:cs="Times New Roman"/>
                <w:b/>
                <w:sz w:val="18"/>
              </w:rPr>
              <w:t xml:space="preserve"> </w:t>
            </w:r>
            <w:r w:rsidR="00E9600B" w:rsidRPr="00FD1DC0">
              <w:rPr>
                <w:rFonts w:ascii="Times New Roman" w:eastAsia="Times New Roman" w:hAnsi="Times New Roman" w:cs="Times New Roman"/>
                <w:b/>
                <w:sz w:val="18"/>
              </w:rPr>
              <w:t xml:space="preserve">Coeficiente </w:t>
            </w:r>
            <w:r w:rsidR="00E9600B" w:rsidRPr="00FD1DC0">
              <w:rPr>
                <w:rFonts w:ascii="Times New Roman" w:eastAsia="Times New Roman" w:hAnsi="Times New Roman" w:cs="Times New Roman"/>
                <w:b/>
                <w:sz w:val="18"/>
              </w:rPr>
              <w:tab/>
              <w:t xml:space="preserve">Probabilidad </w:t>
            </w:r>
          </w:p>
        </w:tc>
      </w:tr>
      <w:tr w:rsidR="00746790" w:rsidRPr="00FD1DC0" w14:paraId="729211FB" w14:textId="77777777" w:rsidTr="00373DFF">
        <w:trPr>
          <w:trHeight w:val="439"/>
        </w:trPr>
        <w:tc>
          <w:tcPr>
            <w:tcW w:w="2090" w:type="dxa"/>
            <w:tcBorders>
              <w:top w:val="nil"/>
              <w:left w:val="nil"/>
              <w:bottom w:val="nil"/>
              <w:right w:val="nil"/>
            </w:tcBorders>
          </w:tcPr>
          <w:p w14:paraId="08EDFE15" w14:textId="77777777" w:rsidR="00746790" w:rsidRPr="00FD1DC0" w:rsidRDefault="00E9600B">
            <w:pPr>
              <w:spacing w:after="0" w:line="259" w:lineRule="auto"/>
              <w:ind w:left="0" w:right="102" w:firstLine="0"/>
              <w:jc w:val="center"/>
            </w:pPr>
            <w:r w:rsidRPr="00FD1DC0">
              <w:rPr>
                <w:rFonts w:ascii="Times New Roman" w:eastAsia="Times New Roman" w:hAnsi="Times New Roman" w:cs="Times New Roman"/>
                <w:b/>
                <w:sz w:val="18"/>
              </w:rPr>
              <w:t xml:space="preserve"> </w:t>
            </w:r>
          </w:p>
        </w:tc>
        <w:tc>
          <w:tcPr>
            <w:tcW w:w="2628" w:type="dxa"/>
            <w:tcBorders>
              <w:top w:val="nil"/>
              <w:left w:val="nil"/>
              <w:bottom w:val="nil"/>
              <w:right w:val="nil"/>
            </w:tcBorders>
          </w:tcPr>
          <w:p w14:paraId="2D392613" w14:textId="77777777" w:rsidR="00746790" w:rsidRPr="00FD1DC0" w:rsidRDefault="00E9600B">
            <w:pPr>
              <w:spacing w:after="0" w:line="259" w:lineRule="auto"/>
              <w:ind w:left="0" w:right="9" w:firstLine="0"/>
              <w:jc w:val="center"/>
            </w:pPr>
            <w:r w:rsidRPr="00FD1DC0">
              <w:rPr>
                <w:rFonts w:ascii="Times New Roman" w:eastAsia="Times New Roman" w:hAnsi="Times New Roman" w:cs="Times New Roman"/>
                <w:b/>
                <w:sz w:val="18"/>
              </w:rPr>
              <w:t xml:space="preserve">México </w:t>
            </w:r>
          </w:p>
          <w:p w14:paraId="04767475" w14:textId="77777777" w:rsidR="00746790" w:rsidRPr="00FD1DC0" w:rsidRDefault="00E9600B">
            <w:pPr>
              <w:spacing w:after="0" w:line="259" w:lineRule="auto"/>
              <w:ind w:left="102" w:right="0" w:firstLine="0"/>
              <w:jc w:val="center"/>
            </w:pPr>
            <w:r w:rsidRPr="00FD1DC0">
              <w:rPr>
                <w:rFonts w:ascii="Times New Roman" w:eastAsia="Times New Roman" w:hAnsi="Times New Roman" w:cs="Times New Roman"/>
                <w:b/>
                <w:sz w:val="18"/>
              </w:rPr>
              <w:t xml:space="preserve">Régimen 0 (Alta Volatilidad) </w:t>
            </w:r>
          </w:p>
        </w:tc>
        <w:tc>
          <w:tcPr>
            <w:tcW w:w="2310" w:type="dxa"/>
            <w:gridSpan w:val="2"/>
            <w:tcBorders>
              <w:top w:val="nil"/>
              <w:left w:val="nil"/>
              <w:bottom w:val="nil"/>
              <w:right w:val="nil"/>
            </w:tcBorders>
          </w:tcPr>
          <w:p w14:paraId="4F5E5FE7" w14:textId="77777777" w:rsidR="00746790" w:rsidRPr="00FD1DC0" w:rsidRDefault="00E9600B">
            <w:pPr>
              <w:spacing w:after="0" w:line="259" w:lineRule="auto"/>
              <w:ind w:left="28" w:right="0" w:firstLine="0"/>
              <w:jc w:val="center"/>
            </w:pPr>
            <w:r w:rsidRPr="00FD1DC0">
              <w:rPr>
                <w:rFonts w:ascii="Times New Roman" w:eastAsia="Times New Roman" w:hAnsi="Times New Roman" w:cs="Times New Roman"/>
                <w:b/>
                <w:sz w:val="18"/>
              </w:rPr>
              <w:t xml:space="preserve">Brasil </w:t>
            </w:r>
          </w:p>
        </w:tc>
      </w:tr>
      <w:tr w:rsidR="00746790" w:rsidRPr="00FD1DC0" w14:paraId="005E5759" w14:textId="77777777" w:rsidTr="00373DFF">
        <w:trPr>
          <w:trHeight w:val="223"/>
        </w:trPr>
        <w:tc>
          <w:tcPr>
            <w:tcW w:w="2090" w:type="dxa"/>
            <w:tcBorders>
              <w:top w:val="nil"/>
              <w:left w:val="nil"/>
              <w:bottom w:val="nil"/>
              <w:right w:val="nil"/>
            </w:tcBorders>
          </w:tcPr>
          <w:p w14:paraId="68C8CE0E" w14:textId="77777777" w:rsidR="00746790" w:rsidRPr="00FD1DC0" w:rsidRDefault="00E9600B">
            <w:pPr>
              <w:spacing w:after="0" w:line="259" w:lineRule="auto"/>
              <w:ind w:left="0" w:right="147" w:firstLine="0"/>
              <w:jc w:val="center"/>
            </w:pPr>
            <w:r w:rsidRPr="00FD1DC0">
              <w:rPr>
                <w:rFonts w:ascii="Times New Roman" w:eastAsia="Times New Roman" w:hAnsi="Times New Roman" w:cs="Times New Roman"/>
                <w:sz w:val="18"/>
              </w:rPr>
              <w:t xml:space="preserve">C </w:t>
            </w:r>
          </w:p>
        </w:tc>
        <w:tc>
          <w:tcPr>
            <w:tcW w:w="2628" w:type="dxa"/>
            <w:tcBorders>
              <w:top w:val="nil"/>
              <w:left w:val="nil"/>
              <w:bottom w:val="nil"/>
              <w:right w:val="nil"/>
            </w:tcBorders>
          </w:tcPr>
          <w:p w14:paraId="7A95E34C" w14:textId="5FB87E91" w:rsidR="00746790" w:rsidRPr="00FD1DC0" w:rsidRDefault="00E9600B">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 xml:space="preserve">   1.52154</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0.002</w:t>
            </w:r>
            <w:r w:rsidRPr="00FD1DC0">
              <w:rPr>
                <w:rFonts w:ascii="Times New Roman" w:eastAsia="Times New Roman" w:hAnsi="Times New Roman" w:cs="Times New Roman"/>
                <w:sz w:val="18"/>
              </w:rPr>
              <w:t xml:space="preserve">0 </w:t>
            </w:r>
          </w:p>
        </w:tc>
        <w:tc>
          <w:tcPr>
            <w:tcW w:w="1511" w:type="dxa"/>
            <w:tcBorders>
              <w:top w:val="nil"/>
              <w:left w:val="nil"/>
              <w:bottom w:val="nil"/>
              <w:right w:val="nil"/>
            </w:tcBorders>
          </w:tcPr>
          <w:p w14:paraId="633DD03F" w14:textId="77777777" w:rsidR="00746790" w:rsidRPr="00FD1DC0" w:rsidRDefault="00E9600B">
            <w:pPr>
              <w:spacing w:after="0" w:line="259" w:lineRule="auto"/>
              <w:ind w:left="288" w:right="0" w:firstLine="0"/>
              <w:jc w:val="left"/>
            </w:pPr>
            <w:r w:rsidRPr="00FD1DC0">
              <w:rPr>
                <w:rFonts w:ascii="Times New Roman" w:eastAsia="Times New Roman" w:hAnsi="Times New Roman" w:cs="Times New Roman"/>
                <w:sz w:val="18"/>
              </w:rPr>
              <w:t xml:space="preserve">0.01260 </w:t>
            </w:r>
          </w:p>
        </w:tc>
        <w:tc>
          <w:tcPr>
            <w:tcW w:w="799" w:type="dxa"/>
            <w:tcBorders>
              <w:top w:val="nil"/>
              <w:left w:val="nil"/>
              <w:bottom w:val="nil"/>
              <w:right w:val="nil"/>
            </w:tcBorders>
          </w:tcPr>
          <w:p w14:paraId="556AE19E" w14:textId="55018F82" w:rsidR="00746790" w:rsidRPr="00FD1DC0" w:rsidRDefault="00E9600B">
            <w:pPr>
              <w:spacing w:after="0" w:line="259" w:lineRule="auto"/>
              <w:ind w:left="0" w:right="0" w:firstLine="0"/>
              <w:jc w:val="left"/>
            </w:pPr>
            <w:r w:rsidRPr="00FD1DC0">
              <w:rPr>
                <w:rFonts w:ascii="Times New Roman" w:eastAsia="Times New Roman" w:hAnsi="Times New Roman" w:cs="Times New Roman"/>
                <w:sz w:val="18"/>
              </w:rPr>
              <w:t>0.</w:t>
            </w:r>
            <w:r w:rsidR="00C55DE2" w:rsidRPr="00FD1DC0">
              <w:rPr>
                <w:rFonts w:ascii="Times New Roman" w:eastAsia="Times New Roman" w:hAnsi="Times New Roman" w:cs="Times New Roman"/>
                <w:sz w:val="18"/>
              </w:rPr>
              <w:t>0101</w:t>
            </w:r>
            <w:r w:rsidRPr="00FD1DC0">
              <w:rPr>
                <w:rFonts w:ascii="Times New Roman" w:eastAsia="Times New Roman" w:hAnsi="Times New Roman" w:cs="Times New Roman"/>
                <w:sz w:val="18"/>
              </w:rPr>
              <w:t xml:space="preserve"> </w:t>
            </w:r>
          </w:p>
        </w:tc>
      </w:tr>
      <w:tr w:rsidR="00746790" w:rsidRPr="00FD1DC0" w14:paraId="1FDFFDA1" w14:textId="77777777" w:rsidTr="00373DFF">
        <w:trPr>
          <w:trHeight w:val="224"/>
        </w:trPr>
        <w:tc>
          <w:tcPr>
            <w:tcW w:w="2090" w:type="dxa"/>
            <w:tcBorders>
              <w:top w:val="nil"/>
              <w:left w:val="nil"/>
              <w:bottom w:val="nil"/>
              <w:right w:val="nil"/>
            </w:tcBorders>
          </w:tcPr>
          <w:p w14:paraId="3E49A8DB" w14:textId="5695AC2D" w:rsidR="00746790" w:rsidRPr="00FD1DC0" w:rsidRDefault="00111AE3">
            <w:pPr>
              <w:spacing w:after="0" w:line="259" w:lineRule="auto"/>
              <w:ind w:left="214" w:right="0" w:firstLine="0"/>
              <w:jc w:val="left"/>
            </w:pPr>
            <w:r w:rsidRPr="00FD1DC0">
              <w:rPr>
                <w:rFonts w:ascii="Times New Roman" w:eastAsia="Times New Roman" w:hAnsi="Times New Roman" w:cs="Times New Roman"/>
                <w:sz w:val="18"/>
              </w:rPr>
              <w:t>Tasa de interes</w:t>
            </w:r>
            <w:r w:rsidR="00E9600B" w:rsidRPr="00FD1DC0">
              <w:rPr>
                <w:rFonts w:ascii="Times New Roman" w:eastAsia="Times New Roman" w:hAnsi="Times New Roman" w:cs="Times New Roman"/>
                <w:sz w:val="18"/>
              </w:rPr>
              <w:t xml:space="preserve"> </w:t>
            </w:r>
          </w:p>
        </w:tc>
        <w:tc>
          <w:tcPr>
            <w:tcW w:w="2628" w:type="dxa"/>
            <w:tcBorders>
              <w:top w:val="nil"/>
              <w:left w:val="nil"/>
              <w:bottom w:val="nil"/>
              <w:right w:val="nil"/>
            </w:tcBorders>
          </w:tcPr>
          <w:p w14:paraId="2ADFA3E4" w14:textId="4F602B90" w:rsidR="00746790" w:rsidRPr="00FD1DC0" w:rsidRDefault="00E9600B">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576A53"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-0.33311</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0.02</w:t>
            </w:r>
            <w:r w:rsidRPr="00FD1DC0">
              <w:rPr>
                <w:rFonts w:ascii="Times New Roman" w:eastAsia="Times New Roman" w:hAnsi="Times New Roman" w:cs="Times New Roman"/>
                <w:sz w:val="18"/>
              </w:rPr>
              <w:t xml:space="preserve">12 </w:t>
            </w:r>
          </w:p>
        </w:tc>
        <w:tc>
          <w:tcPr>
            <w:tcW w:w="1511" w:type="dxa"/>
            <w:tcBorders>
              <w:top w:val="nil"/>
              <w:left w:val="nil"/>
              <w:bottom w:val="nil"/>
              <w:right w:val="nil"/>
            </w:tcBorders>
          </w:tcPr>
          <w:p w14:paraId="609F2AE2" w14:textId="77777777" w:rsidR="00746790" w:rsidRPr="00FD1DC0" w:rsidRDefault="00E9600B">
            <w:pPr>
              <w:spacing w:after="0" w:line="259" w:lineRule="auto"/>
              <w:ind w:left="288" w:right="0" w:firstLine="0"/>
              <w:jc w:val="left"/>
            </w:pPr>
            <w:r w:rsidRPr="00FD1DC0">
              <w:rPr>
                <w:rFonts w:ascii="Times New Roman" w:eastAsia="Times New Roman" w:hAnsi="Times New Roman" w:cs="Times New Roman"/>
                <w:sz w:val="18"/>
              </w:rPr>
              <w:t xml:space="preserve">0.00314 </w:t>
            </w:r>
          </w:p>
        </w:tc>
        <w:tc>
          <w:tcPr>
            <w:tcW w:w="799" w:type="dxa"/>
            <w:tcBorders>
              <w:top w:val="nil"/>
              <w:left w:val="nil"/>
              <w:bottom w:val="nil"/>
              <w:right w:val="nil"/>
            </w:tcBorders>
          </w:tcPr>
          <w:p w14:paraId="553CFDC3" w14:textId="4B9D7319" w:rsidR="00746790" w:rsidRPr="00FD1DC0" w:rsidRDefault="005B7DAF">
            <w:pPr>
              <w:spacing w:after="0" w:line="259" w:lineRule="auto"/>
              <w:ind w:left="0" w:right="0" w:firstLine="0"/>
              <w:jc w:val="left"/>
            </w:pPr>
            <w:r w:rsidRPr="00FD1DC0">
              <w:rPr>
                <w:rFonts w:ascii="Times New Roman" w:eastAsia="Times New Roman" w:hAnsi="Times New Roman" w:cs="Times New Roman"/>
                <w:sz w:val="18"/>
              </w:rPr>
              <w:t>0.03</w:t>
            </w:r>
            <w:r w:rsidR="00C55DE2" w:rsidRPr="00FD1DC0">
              <w:rPr>
                <w:rFonts w:ascii="Times New Roman" w:eastAsia="Times New Roman" w:hAnsi="Times New Roman" w:cs="Times New Roman"/>
                <w:sz w:val="18"/>
              </w:rPr>
              <w:t>31</w:t>
            </w:r>
            <w:r w:rsidR="00E9600B" w:rsidRPr="00FD1DC0">
              <w:rPr>
                <w:rFonts w:ascii="Times New Roman" w:eastAsia="Times New Roman" w:hAnsi="Times New Roman" w:cs="Times New Roman"/>
                <w:sz w:val="18"/>
              </w:rPr>
              <w:t xml:space="preserve"> </w:t>
            </w:r>
          </w:p>
        </w:tc>
      </w:tr>
      <w:tr w:rsidR="00373DFF" w:rsidRPr="00FD1DC0" w14:paraId="6378F28C" w14:textId="77777777" w:rsidTr="00373DFF">
        <w:trPr>
          <w:trHeight w:val="224"/>
        </w:trPr>
        <w:tc>
          <w:tcPr>
            <w:tcW w:w="2090" w:type="dxa"/>
            <w:tcBorders>
              <w:top w:val="nil"/>
              <w:left w:val="nil"/>
              <w:bottom w:val="nil"/>
              <w:right w:val="nil"/>
            </w:tcBorders>
          </w:tcPr>
          <w:p w14:paraId="6F11D085" w14:textId="53E1E9DB" w:rsidR="00373DFF" w:rsidRPr="00FD1DC0" w:rsidRDefault="00111AE3" w:rsidP="00373DFF">
            <w:pPr>
              <w:spacing w:after="0" w:line="259" w:lineRule="auto"/>
              <w:ind w:left="214" w:right="0" w:firstLine="0"/>
              <w:jc w:val="left"/>
            </w:pPr>
            <w:r w:rsidRPr="00FD1DC0">
              <w:rPr>
                <w:rFonts w:ascii="Times New Roman" w:eastAsia="Times New Roman" w:hAnsi="Times New Roman" w:cs="Times New Roman"/>
                <w:sz w:val="18"/>
              </w:rPr>
              <w:t>RIN</w:t>
            </w:r>
          </w:p>
        </w:tc>
        <w:tc>
          <w:tcPr>
            <w:tcW w:w="2628" w:type="dxa"/>
            <w:tcBorders>
              <w:top w:val="nil"/>
              <w:left w:val="nil"/>
              <w:bottom w:val="nil"/>
              <w:right w:val="nil"/>
            </w:tcBorders>
          </w:tcPr>
          <w:p w14:paraId="19795FA7" w14:textId="3433A604"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576A53"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-0.20534</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0.01</w:t>
            </w:r>
            <w:r w:rsidR="00C55DE2" w:rsidRPr="00FD1DC0">
              <w:rPr>
                <w:rFonts w:ascii="Times New Roman" w:eastAsia="Times New Roman" w:hAnsi="Times New Roman" w:cs="Times New Roman"/>
                <w:sz w:val="18"/>
              </w:rPr>
              <w:t>53</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60573B58" w14:textId="77777777" w:rsidR="00373DFF" w:rsidRPr="00FD1DC0" w:rsidRDefault="00373DFF" w:rsidP="00373DFF">
            <w:pPr>
              <w:spacing w:after="0" w:line="259" w:lineRule="auto"/>
              <w:ind w:left="288" w:right="0" w:firstLine="0"/>
              <w:jc w:val="left"/>
            </w:pPr>
            <w:r w:rsidRPr="00FD1DC0">
              <w:rPr>
                <w:rFonts w:ascii="Times New Roman" w:eastAsia="Times New Roman" w:hAnsi="Times New Roman" w:cs="Times New Roman"/>
                <w:sz w:val="18"/>
              </w:rPr>
              <w:t xml:space="preserve">0.00314 </w:t>
            </w:r>
          </w:p>
        </w:tc>
        <w:tc>
          <w:tcPr>
            <w:tcW w:w="799" w:type="dxa"/>
            <w:tcBorders>
              <w:top w:val="nil"/>
              <w:left w:val="nil"/>
              <w:bottom w:val="nil"/>
              <w:right w:val="nil"/>
            </w:tcBorders>
          </w:tcPr>
          <w:p w14:paraId="0D8C8938" w14:textId="52E01014" w:rsidR="00373DFF" w:rsidRPr="00FD1DC0" w:rsidRDefault="005B7DAF" w:rsidP="00373DFF">
            <w:pPr>
              <w:spacing w:after="0" w:line="259" w:lineRule="auto"/>
              <w:ind w:left="0" w:right="0" w:firstLine="0"/>
              <w:jc w:val="left"/>
            </w:pPr>
            <w:r w:rsidRPr="00FD1DC0">
              <w:rPr>
                <w:rFonts w:ascii="Times New Roman" w:eastAsia="Times New Roman" w:hAnsi="Times New Roman" w:cs="Times New Roman"/>
                <w:sz w:val="18"/>
              </w:rPr>
              <w:t>0.04</w:t>
            </w:r>
            <w:r w:rsidR="00C55DE2" w:rsidRPr="00FD1DC0">
              <w:rPr>
                <w:rFonts w:ascii="Times New Roman" w:eastAsia="Times New Roman" w:hAnsi="Times New Roman" w:cs="Times New Roman"/>
                <w:sz w:val="18"/>
              </w:rPr>
              <w:t>11</w:t>
            </w:r>
            <w:r w:rsidR="00373DFF" w:rsidRPr="00FD1DC0">
              <w:rPr>
                <w:rFonts w:ascii="Times New Roman" w:eastAsia="Times New Roman" w:hAnsi="Times New Roman" w:cs="Times New Roman"/>
                <w:sz w:val="18"/>
              </w:rPr>
              <w:t xml:space="preserve"> </w:t>
            </w:r>
          </w:p>
        </w:tc>
      </w:tr>
      <w:tr w:rsidR="00373DFF" w:rsidRPr="00FD1DC0" w14:paraId="23042608" w14:textId="77777777" w:rsidTr="00373DFF">
        <w:trPr>
          <w:trHeight w:val="224"/>
        </w:trPr>
        <w:tc>
          <w:tcPr>
            <w:tcW w:w="2090" w:type="dxa"/>
            <w:tcBorders>
              <w:top w:val="nil"/>
              <w:left w:val="nil"/>
              <w:bottom w:val="nil"/>
              <w:right w:val="nil"/>
            </w:tcBorders>
          </w:tcPr>
          <w:p w14:paraId="31FDD075" w14:textId="41302337" w:rsidR="00373DFF" w:rsidRPr="00FD1DC0" w:rsidRDefault="00680388" w:rsidP="00373DFF">
            <w:pPr>
              <w:spacing w:after="0" w:line="259" w:lineRule="auto"/>
              <w:ind w:left="214" w:right="0" w:firstLine="0"/>
              <w:jc w:val="left"/>
            </w:pPr>
            <w:r w:rsidRPr="00FD1DC0">
              <w:rPr>
                <w:rFonts w:ascii="Times New Roman" w:eastAsia="Times New Roman" w:hAnsi="Times New Roman" w:cs="Times New Roman"/>
                <w:sz w:val="18"/>
              </w:rPr>
              <w:t>d</w:t>
            </w:r>
            <w:r w:rsidR="00373DFF" w:rsidRPr="00FD1DC0">
              <w:rPr>
                <w:rFonts w:ascii="Times New Roman" w:eastAsia="Times New Roman" w:hAnsi="Times New Roman" w:cs="Times New Roman"/>
                <w:sz w:val="18"/>
              </w:rPr>
              <w:t>u</w:t>
            </w:r>
            <w:r w:rsidRPr="00FD1DC0">
              <w:rPr>
                <w:rFonts w:ascii="Times New Roman" w:eastAsia="Times New Roman" w:hAnsi="Times New Roman" w:cs="Times New Roman"/>
                <w:sz w:val="18"/>
              </w:rPr>
              <w:t>m</w:t>
            </w:r>
            <w:r w:rsidR="00373DFF" w:rsidRPr="00FD1DC0">
              <w:rPr>
                <w:rFonts w:ascii="Times New Roman" w:eastAsia="Times New Roman" w:hAnsi="Times New Roman" w:cs="Times New Roman"/>
                <w:sz w:val="18"/>
              </w:rPr>
              <w:t>my de metas inflación</w:t>
            </w:r>
          </w:p>
        </w:tc>
        <w:tc>
          <w:tcPr>
            <w:tcW w:w="2628" w:type="dxa"/>
            <w:tcBorders>
              <w:top w:val="nil"/>
              <w:left w:val="nil"/>
              <w:bottom w:val="nil"/>
              <w:right w:val="nil"/>
            </w:tcBorders>
          </w:tcPr>
          <w:p w14:paraId="7132EC0C" w14:textId="3F02B22F"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576A53"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-0.31</w:t>
            </w:r>
            <w:r w:rsidR="00576A53" w:rsidRPr="00FD1DC0">
              <w:rPr>
                <w:rFonts w:ascii="Times New Roman" w:eastAsia="Times New Roman" w:hAnsi="Times New Roman" w:cs="Times New Roman"/>
                <w:sz w:val="18"/>
              </w:rPr>
              <w:t>4</w:t>
            </w:r>
            <w:r w:rsidR="007C1253" w:rsidRPr="00FD1DC0">
              <w:rPr>
                <w:rFonts w:ascii="Times New Roman" w:eastAsia="Times New Roman" w:hAnsi="Times New Roman" w:cs="Times New Roman"/>
                <w:sz w:val="18"/>
              </w:rPr>
              <w:t>57</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0.04</w:t>
            </w:r>
            <w:r w:rsidR="00C55DE2" w:rsidRPr="00FD1DC0">
              <w:rPr>
                <w:rFonts w:ascii="Times New Roman" w:eastAsia="Times New Roman" w:hAnsi="Times New Roman" w:cs="Times New Roman"/>
                <w:sz w:val="18"/>
              </w:rPr>
              <w:t>31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49967681" w14:textId="77777777" w:rsidR="00373DFF" w:rsidRPr="00FD1DC0" w:rsidRDefault="00373DFF" w:rsidP="00373DFF">
            <w:pPr>
              <w:spacing w:after="0" w:line="259" w:lineRule="auto"/>
              <w:ind w:left="288" w:right="0" w:firstLine="0"/>
              <w:jc w:val="left"/>
            </w:pPr>
            <w:r w:rsidRPr="00FD1DC0">
              <w:rPr>
                <w:rFonts w:ascii="Times New Roman" w:eastAsia="Times New Roman" w:hAnsi="Times New Roman" w:cs="Times New Roman"/>
                <w:sz w:val="18"/>
              </w:rPr>
              <w:t xml:space="preserve">0.00314 </w:t>
            </w:r>
          </w:p>
        </w:tc>
        <w:tc>
          <w:tcPr>
            <w:tcW w:w="799" w:type="dxa"/>
            <w:tcBorders>
              <w:top w:val="nil"/>
              <w:left w:val="nil"/>
              <w:bottom w:val="nil"/>
              <w:right w:val="nil"/>
            </w:tcBorders>
          </w:tcPr>
          <w:p w14:paraId="2C4D0D4E" w14:textId="12279E64" w:rsidR="00373DFF" w:rsidRPr="00FD1DC0" w:rsidRDefault="005B7DAF" w:rsidP="00373DFF">
            <w:pPr>
              <w:spacing w:after="0" w:line="259" w:lineRule="auto"/>
              <w:ind w:left="0" w:right="0" w:firstLine="0"/>
              <w:jc w:val="left"/>
            </w:pPr>
            <w:r w:rsidRPr="00FD1DC0">
              <w:rPr>
                <w:rFonts w:ascii="Times New Roman" w:eastAsia="Times New Roman" w:hAnsi="Times New Roman" w:cs="Times New Roman"/>
                <w:sz w:val="18"/>
              </w:rPr>
              <w:t>0.01</w:t>
            </w:r>
            <w:r w:rsidR="00C55DE2" w:rsidRPr="00FD1DC0">
              <w:rPr>
                <w:rFonts w:ascii="Times New Roman" w:eastAsia="Times New Roman" w:hAnsi="Times New Roman" w:cs="Times New Roman"/>
                <w:sz w:val="18"/>
              </w:rPr>
              <w:t>42</w:t>
            </w:r>
            <w:r w:rsidR="00373DFF" w:rsidRPr="00FD1DC0">
              <w:rPr>
                <w:rFonts w:ascii="Times New Roman" w:eastAsia="Times New Roman" w:hAnsi="Times New Roman" w:cs="Times New Roman"/>
                <w:sz w:val="18"/>
              </w:rPr>
              <w:t xml:space="preserve"> </w:t>
            </w:r>
          </w:p>
        </w:tc>
      </w:tr>
      <w:tr w:rsidR="00373DFF" w:rsidRPr="00FD1DC0" w14:paraId="7BD5870E" w14:textId="77777777" w:rsidTr="00373DFF">
        <w:trPr>
          <w:trHeight w:val="224"/>
        </w:trPr>
        <w:tc>
          <w:tcPr>
            <w:tcW w:w="2090" w:type="dxa"/>
            <w:tcBorders>
              <w:top w:val="nil"/>
              <w:left w:val="nil"/>
              <w:bottom w:val="nil"/>
              <w:right w:val="nil"/>
            </w:tcBorders>
          </w:tcPr>
          <w:p w14:paraId="7133B953" w14:textId="4BF66968" w:rsidR="00373DFF" w:rsidRPr="00FD1DC0" w:rsidRDefault="00111AE3" w:rsidP="00373DFF">
            <w:pPr>
              <w:spacing w:after="0" w:line="259" w:lineRule="auto"/>
              <w:ind w:left="214" w:right="0" w:firstLine="0"/>
              <w:jc w:val="left"/>
            </w:pPr>
            <w:r w:rsidRPr="00FD1DC0">
              <w:rPr>
                <w:rFonts w:ascii="Times New Roman" w:eastAsia="Times New Roman" w:hAnsi="Times New Roman" w:cs="Times New Roman"/>
                <w:sz w:val="18"/>
              </w:rPr>
              <w:t>Deuda Interna</w:t>
            </w:r>
            <w:r w:rsidR="00373DFF" w:rsidRPr="00FD1DC0">
              <w:rPr>
                <w:rFonts w:ascii="Times New Roman" w:eastAsia="Times New Roman" w:hAnsi="Times New Roman" w:cs="Times New Roman"/>
                <w:sz w:val="18"/>
              </w:rPr>
              <w:t xml:space="preserve"> </w:t>
            </w:r>
          </w:p>
        </w:tc>
        <w:tc>
          <w:tcPr>
            <w:tcW w:w="2628" w:type="dxa"/>
            <w:tcBorders>
              <w:top w:val="nil"/>
              <w:left w:val="nil"/>
              <w:bottom w:val="nil"/>
              <w:right w:val="nil"/>
            </w:tcBorders>
          </w:tcPr>
          <w:p w14:paraId="68599CBC" w14:textId="7F404B4B"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576A53"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-0.10</w:t>
            </w:r>
            <w:r w:rsidR="00576A53" w:rsidRPr="00FD1DC0">
              <w:rPr>
                <w:rFonts w:ascii="Times New Roman" w:eastAsia="Times New Roman" w:hAnsi="Times New Roman" w:cs="Times New Roman"/>
                <w:sz w:val="18"/>
              </w:rPr>
              <w:t>34</w:t>
            </w:r>
            <w:r w:rsidR="007C1253" w:rsidRPr="00FD1DC0">
              <w:rPr>
                <w:rFonts w:ascii="Times New Roman" w:eastAsia="Times New Roman" w:hAnsi="Times New Roman" w:cs="Times New Roman"/>
                <w:sz w:val="18"/>
              </w:rPr>
              <w:t>4</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0.03</w:t>
            </w:r>
            <w:r w:rsidR="00C55DE2" w:rsidRPr="00FD1DC0">
              <w:rPr>
                <w:rFonts w:ascii="Times New Roman" w:eastAsia="Times New Roman" w:hAnsi="Times New Roman" w:cs="Times New Roman"/>
                <w:sz w:val="18"/>
              </w:rPr>
              <w:t>14</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50DED49A" w14:textId="3EFEEAB8" w:rsidR="00373DFF" w:rsidRPr="00FD1DC0" w:rsidRDefault="00C55DE2" w:rsidP="00373DFF">
            <w:pPr>
              <w:spacing w:after="0" w:line="259" w:lineRule="auto"/>
              <w:ind w:left="288" w:right="0" w:firstLine="0"/>
              <w:jc w:val="left"/>
            </w:pPr>
            <w:r w:rsidRPr="00FD1DC0">
              <w:rPr>
                <w:rFonts w:ascii="Times New Roman" w:eastAsia="Times New Roman" w:hAnsi="Times New Roman" w:cs="Times New Roman"/>
                <w:sz w:val="18"/>
              </w:rPr>
              <w:t>0.00311</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0F8EFEE6" w14:textId="15F720DB" w:rsidR="00373DFF" w:rsidRPr="00FD1DC0" w:rsidRDefault="005B7DAF" w:rsidP="00373DFF">
            <w:pPr>
              <w:spacing w:after="0" w:line="259" w:lineRule="auto"/>
              <w:ind w:left="0" w:right="0" w:firstLine="0"/>
              <w:jc w:val="left"/>
            </w:pPr>
            <w:r w:rsidRPr="00FD1DC0">
              <w:rPr>
                <w:rFonts w:ascii="Times New Roman" w:eastAsia="Times New Roman" w:hAnsi="Times New Roman" w:cs="Times New Roman"/>
                <w:sz w:val="18"/>
              </w:rPr>
              <w:t>0.02</w:t>
            </w:r>
            <w:r w:rsidR="00C55DE2" w:rsidRPr="00FD1DC0">
              <w:rPr>
                <w:rFonts w:ascii="Times New Roman" w:eastAsia="Times New Roman" w:hAnsi="Times New Roman" w:cs="Times New Roman"/>
                <w:sz w:val="18"/>
              </w:rPr>
              <w:t>62</w:t>
            </w:r>
            <w:r w:rsidR="00373DFF" w:rsidRPr="00FD1DC0">
              <w:rPr>
                <w:rFonts w:ascii="Times New Roman" w:eastAsia="Times New Roman" w:hAnsi="Times New Roman" w:cs="Times New Roman"/>
                <w:sz w:val="18"/>
              </w:rPr>
              <w:t xml:space="preserve"> </w:t>
            </w:r>
          </w:p>
        </w:tc>
      </w:tr>
      <w:tr w:rsidR="00111AE3" w:rsidRPr="00FD1DC0" w14:paraId="0BE41389" w14:textId="77777777" w:rsidTr="00373DFF">
        <w:trPr>
          <w:trHeight w:val="224"/>
        </w:trPr>
        <w:tc>
          <w:tcPr>
            <w:tcW w:w="2090" w:type="dxa"/>
            <w:tcBorders>
              <w:top w:val="nil"/>
              <w:left w:val="nil"/>
              <w:bottom w:val="nil"/>
              <w:right w:val="nil"/>
            </w:tcBorders>
          </w:tcPr>
          <w:p w14:paraId="421A962A" w14:textId="4681919A" w:rsidR="00111AE3" w:rsidRPr="00FD1DC0" w:rsidRDefault="00111AE3" w:rsidP="00111AE3">
            <w:pPr>
              <w:spacing w:after="0" w:line="259" w:lineRule="auto"/>
              <w:ind w:left="214"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Tasa de inflación</w:t>
            </w:r>
          </w:p>
        </w:tc>
        <w:tc>
          <w:tcPr>
            <w:tcW w:w="2628" w:type="dxa"/>
            <w:tcBorders>
              <w:top w:val="nil"/>
              <w:left w:val="nil"/>
              <w:bottom w:val="nil"/>
              <w:right w:val="nil"/>
            </w:tcBorders>
          </w:tcPr>
          <w:p w14:paraId="10FFAF17" w14:textId="176ED3AA" w:rsidR="00111AE3" w:rsidRPr="00FD1DC0" w:rsidRDefault="00111AE3" w:rsidP="00111AE3">
            <w:pPr>
              <w:tabs>
                <w:tab w:val="center" w:pos="723"/>
                <w:tab w:val="center" w:pos="2036"/>
              </w:tabs>
              <w:spacing w:after="0" w:line="259" w:lineRule="auto"/>
              <w:ind w:left="0" w:right="0" w:firstLine="0"/>
              <w:jc w:val="left"/>
              <w:rPr>
                <w:rFonts w:ascii="Calibri" w:eastAsia="Calibri" w:hAnsi="Calibri" w:cs="Calibri"/>
                <w:sz w:val="22"/>
              </w:rPr>
            </w:pPr>
            <w:r w:rsidRPr="00FD1DC0">
              <w:rPr>
                <w:rFonts w:ascii="Calibri" w:eastAsia="Calibri" w:hAnsi="Calibri" w:cs="Calibri"/>
                <w:sz w:val="22"/>
              </w:rPr>
              <w:tab/>
            </w:r>
            <w:r w:rsidR="007C1253" w:rsidRPr="00FD1DC0">
              <w:rPr>
                <w:rFonts w:ascii="Times New Roman" w:eastAsia="Times New Roman" w:hAnsi="Times New Roman" w:cs="Times New Roman"/>
                <w:sz w:val="18"/>
              </w:rPr>
              <w:t xml:space="preserve">   0.12342</w:t>
            </w:r>
            <w:r w:rsidRPr="00FD1DC0">
              <w:rPr>
                <w:rFonts w:ascii="Times New Roman" w:eastAsia="Times New Roman" w:hAnsi="Times New Roman" w:cs="Times New Roman"/>
                <w:sz w:val="18"/>
              </w:rPr>
              <w:t xml:space="preserve"> </w:t>
            </w:r>
            <w:r w:rsidRPr="00FD1DC0">
              <w:rPr>
                <w:rFonts w:ascii="Times New Roman" w:eastAsia="Times New Roman" w:hAnsi="Times New Roman" w:cs="Times New Roman"/>
                <w:sz w:val="18"/>
              </w:rPr>
              <w:tab/>
              <w:t>0</w:t>
            </w:r>
            <w:r w:rsidR="005B7DAF" w:rsidRPr="00FD1DC0">
              <w:rPr>
                <w:rFonts w:ascii="Times New Roman" w:eastAsia="Times New Roman" w:hAnsi="Times New Roman" w:cs="Times New Roman"/>
                <w:sz w:val="18"/>
              </w:rPr>
              <w:t>.04</w:t>
            </w:r>
            <w:r w:rsidR="00C55DE2" w:rsidRPr="00FD1DC0">
              <w:rPr>
                <w:rFonts w:ascii="Times New Roman" w:eastAsia="Times New Roman" w:hAnsi="Times New Roman" w:cs="Times New Roman"/>
                <w:sz w:val="18"/>
              </w:rPr>
              <w:t>42</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3BECB310" w14:textId="3218BC24" w:rsidR="00111AE3" w:rsidRPr="00FD1DC0" w:rsidRDefault="00C55DE2" w:rsidP="00111AE3">
            <w:pPr>
              <w:spacing w:after="0" w:line="259" w:lineRule="auto"/>
              <w:ind w:left="288"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0.00312</w:t>
            </w:r>
            <w:r w:rsidR="00111AE3"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029E3F03" w14:textId="58454F8B" w:rsidR="00111AE3" w:rsidRPr="00FD1DC0" w:rsidRDefault="005B7DAF" w:rsidP="00111AE3">
            <w:pPr>
              <w:spacing w:after="0" w:line="259" w:lineRule="auto"/>
              <w:ind w:left="0"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0.03</w:t>
            </w:r>
            <w:r w:rsidR="00C55DE2" w:rsidRPr="00FD1DC0">
              <w:rPr>
                <w:rFonts w:ascii="Times New Roman" w:eastAsia="Times New Roman" w:hAnsi="Times New Roman" w:cs="Times New Roman"/>
                <w:sz w:val="18"/>
              </w:rPr>
              <w:t>11</w:t>
            </w:r>
            <w:r w:rsidR="00111AE3" w:rsidRPr="00FD1DC0">
              <w:rPr>
                <w:rFonts w:ascii="Times New Roman" w:eastAsia="Times New Roman" w:hAnsi="Times New Roman" w:cs="Times New Roman"/>
                <w:sz w:val="18"/>
              </w:rPr>
              <w:t xml:space="preserve"> </w:t>
            </w:r>
          </w:p>
        </w:tc>
      </w:tr>
      <w:tr w:rsidR="00111AE3" w:rsidRPr="00FD1DC0" w14:paraId="6A7DDA32" w14:textId="77777777" w:rsidTr="00373DFF">
        <w:trPr>
          <w:trHeight w:val="224"/>
        </w:trPr>
        <w:tc>
          <w:tcPr>
            <w:tcW w:w="2090" w:type="dxa"/>
            <w:tcBorders>
              <w:top w:val="nil"/>
              <w:left w:val="nil"/>
              <w:bottom w:val="nil"/>
              <w:right w:val="nil"/>
            </w:tcBorders>
          </w:tcPr>
          <w:p w14:paraId="7E54F2F3" w14:textId="45CE32E7" w:rsidR="00111AE3" w:rsidRPr="00FD1DC0" w:rsidRDefault="00111AE3" w:rsidP="00111AE3">
            <w:pPr>
              <w:spacing w:after="0" w:line="259" w:lineRule="auto"/>
              <w:ind w:left="214"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CIN</w:t>
            </w:r>
          </w:p>
        </w:tc>
        <w:tc>
          <w:tcPr>
            <w:tcW w:w="2628" w:type="dxa"/>
            <w:tcBorders>
              <w:top w:val="nil"/>
              <w:left w:val="nil"/>
              <w:bottom w:val="nil"/>
              <w:right w:val="nil"/>
            </w:tcBorders>
          </w:tcPr>
          <w:p w14:paraId="1BF95CB9" w14:textId="13813FBB" w:rsidR="00111AE3" w:rsidRPr="00FD1DC0" w:rsidRDefault="00111AE3" w:rsidP="00111AE3">
            <w:pPr>
              <w:tabs>
                <w:tab w:val="center" w:pos="723"/>
                <w:tab w:val="center" w:pos="2036"/>
              </w:tabs>
              <w:spacing w:after="0" w:line="259" w:lineRule="auto"/>
              <w:ind w:left="0" w:right="0" w:firstLine="0"/>
              <w:jc w:val="left"/>
              <w:rPr>
                <w:rFonts w:ascii="Calibri" w:eastAsia="Calibri" w:hAnsi="Calibri" w:cs="Calibri"/>
                <w:sz w:val="22"/>
              </w:rPr>
            </w:pPr>
            <w:r w:rsidRPr="00FD1DC0">
              <w:rPr>
                <w:rFonts w:ascii="Calibri" w:eastAsia="Calibri" w:hAnsi="Calibri" w:cs="Calibri"/>
                <w:sz w:val="22"/>
              </w:rPr>
              <w:tab/>
            </w:r>
            <w:r w:rsidR="007C1253" w:rsidRPr="00FD1DC0">
              <w:rPr>
                <w:rFonts w:ascii="Times New Roman" w:eastAsia="Times New Roman" w:hAnsi="Times New Roman" w:cs="Times New Roman"/>
                <w:sz w:val="18"/>
              </w:rPr>
              <w:t xml:space="preserve">   0.31457</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0.02</w:t>
            </w:r>
            <w:r w:rsidR="00C55DE2" w:rsidRPr="00FD1DC0">
              <w:rPr>
                <w:rFonts w:ascii="Times New Roman" w:eastAsia="Times New Roman" w:hAnsi="Times New Roman" w:cs="Times New Roman"/>
                <w:sz w:val="18"/>
              </w:rPr>
              <w:t>31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4866F634" w14:textId="23DD9CA6" w:rsidR="00111AE3" w:rsidRPr="00FD1DC0" w:rsidRDefault="00C55DE2" w:rsidP="00111AE3">
            <w:pPr>
              <w:spacing w:after="0" w:line="259" w:lineRule="auto"/>
              <w:ind w:left="288"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0.00315</w:t>
            </w:r>
            <w:r w:rsidR="00111AE3"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3100104B" w14:textId="6D922BA4" w:rsidR="00111AE3" w:rsidRPr="00FD1DC0" w:rsidRDefault="005B7DAF" w:rsidP="00111AE3">
            <w:pPr>
              <w:spacing w:after="0" w:line="259" w:lineRule="auto"/>
              <w:ind w:left="0" w:right="0" w:firstLine="0"/>
              <w:jc w:val="left"/>
              <w:rPr>
                <w:rFonts w:ascii="Times New Roman" w:eastAsia="Times New Roman" w:hAnsi="Times New Roman" w:cs="Times New Roman"/>
                <w:sz w:val="18"/>
              </w:rPr>
            </w:pPr>
            <w:r w:rsidRPr="00FD1DC0">
              <w:rPr>
                <w:rFonts w:ascii="Times New Roman" w:eastAsia="Times New Roman" w:hAnsi="Times New Roman" w:cs="Times New Roman"/>
                <w:sz w:val="18"/>
              </w:rPr>
              <w:t>0.04</w:t>
            </w:r>
            <w:r w:rsidR="00C55DE2" w:rsidRPr="00FD1DC0">
              <w:rPr>
                <w:rFonts w:ascii="Times New Roman" w:eastAsia="Times New Roman" w:hAnsi="Times New Roman" w:cs="Times New Roman"/>
                <w:sz w:val="18"/>
              </w:rPr>
              <w:t>45</w:t>
            </w:r>
            <w:r w:rsidR="00111AE3" w:rsidRPr="00FD1DC0">
              <w:rPr>
                <w:rFonts w:ascii="Times New Roman" w:eastAsia="Times New Roman" w:hAnsi="Times New Roman" w:cs="Times New Roman"/>
                <w:sz w:val="18"/>
              </w:rPr>
              <w:t xml:space="preserve"> </w:t>
            </w:r>
          </w:p>
        </w:tc>
      </w:tr>
      <w:tr w:rsidR="00373DFF" w:rsidRPr="00FD1DC0" w14:paraId="227E3F70" w14:textId="77777777" w:rsidTr="00373DFF">
        <w:trPr>
          <w:trHeight w:val="452"/>
        </w:trPr>
        <w:tc>
          <w:tcPr>
            <w:tcW w:w="2090" w:type="dxa"/>
            <w:tcBorders>
              <w:top w:val="nil"/>
              <w:left w:val="nil"/>
              <w:bottom w:val="nil"/>
              <w:right w:val="nil"/>
            </w:tcBorders>
          </w:tcPr>
          <w:p w14:paraId="49AB2B8E" w14:textId="77777777" w:rsidR="00373DFF" w:rsidRPr="00FD1DC0" w:rsidRDefault="00373DFF" w:rsidP="00373DFF">
            <w:pPr>
              <w:spacing w:after="0" w:line="259" w:lineRule="auto"/>
              <w:ind w:left="0" w:right="150" w:firstLine="0"/>
              <w:jc w:val="center"/>
            </w:pPr>
            <w:r w:rsidRPr="00FD1DC0">
              <w:rPr>
                <w:rFonts w:ascii="Times New Roman" w:eastAsia="Times New Roman" w:hAnsi="Times New Roman" w:cs="Times New Roman"/>
                <w:sz w:val="18"/>
              </w:rPr>
              <w:t xml:space="preserve">LOG(SIGMA) </w:t>
            </w:r>
          </w:p>
        </w:tc>
        <w:tc>
          <w:tcPr>
            <w:tcW w:w="2628" w:type="dxa"/>
            <w:tcBorders>
              <w:top w:val="nil"/>
              <w:left w:val="nil"/>
              <w:bottom w:val="nil"/>
              <w:right w:val="nil"/>
            </w:tcBorders>
          </w:tcPr>
          <w:p w14:paraId="46B2D003" w14:textId="2C1F06D7" w:rsidR="00373DFF" w:rsidRPr="00FD1DC0" w:rsidRDefault="00373DFF" w:rsidP="00373DFF">
            <w:pPr>
              <w:tabs>
                <w:tab w:val="center" w:pos="722"/>
                <w:tab w:val="center" w:pos="2036"/>
              </w:tabs>
              <w:spacing w:after="10" w:line="259" w:lineRule="auto"/>
              <w:ind w:left="0" w:right="0" w:firstLine="0"/>
              <w:jc w:val="left"/>
            </w:pPr>
            <w:r w:rsidRPr="00FD1DC0">
              <w:rPr>
                <w:rFonts w:ascii="Calibri" w:eastAsia="Calibri" w:hAnsi="Calibri" w:cs="Calibri"/>
                <w:sz w:val="22"/>
              </w:rPr>
              <w:tab/>
            </w:r>
            <w:r w:rsidR="008E0187" w:rsidRPr="00FD1DC0">
              <w:rPr>
                <w:rFonts w:ascii="Times New Roman" w:eastAsia="Times New Roman" w:hAnsi="Times New Roman" w:cs="Times New Roman"/>
                <w:sz w:val="18"/>
              </w:rPr>
              <w:t xml:space="preserve"> -8</w:t>
            </w:r>
            <w:r w:rsidR="007C1253" w:rsidRPr="00FD1DC0">
              <w:rPr>
                <w:rFonts w:ascii="Times New Roman" w:eastAsia="Times New Roman" w:hAnsi="Times New Roman" w:cs="Times New Roman"/>
                <w:sz w:val="18"/>
              </w:rPr>
              <w:t>.43</w:t>
            </w:r>
            <w:r w:rsidR="00576A53" w:rsidRPr="00FD1DC0">
              <w:rPr>
                <w:rFonts w:ascii="Times New Roman" w:eastAsia="Times New Roman" w:hAnsi="Times New Roman" w:cs="Times New Roman"/>
                <w:sz w:val="18"/>
              </w:rPr>
              <w:t>3</w:t>
            </w:r>
            <w:r w:rsidR="008E0187" w:rsidRPr="00FD1DC0">
              <w:rPr>
                <w:rFonts w:ascii="Times New Roman" w:eastAsia="Times New Roman" w:hAnsi="Times New Roman" w:cs="Times New Roman"/>
                <w:sz w:val="18"/>
              </w:rPr>
              <w:t>67</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w:t>
            </w:r>
            <w:r w:rsidR="005B7DAF" w:rsidRPr="00FD1DC0">
              <w:rPr>
                <w:rFonts w:ascii="Times New Roman" w:eastAsia="Times New Roman" w:hAnsi="Times New Roman" w:cs="Times New Roman"/>
                <w:sz w:val="18"/>
              </w:rPr>
              <w:t>02</w:t>
            </w:r>
            <w:r w:rsidR="00C55DE2" w:rsidRPr="00FD1DC0">
              <w:rPr>
                <w:rFonts w:ascii="Times New Roman" w:eastAsia="Times New Roman" w:hAnsi="Times New Roman" w:cs="Times New Roman"/>
                <w:sz w:val="18"/>
              </w:rPr>
              <w:t>24</w:t>
            </w:r>
            <w:r w:rsidRPr="00FD1DC0">
              <w:rPr>
                <w:rFonts w:ascii="Times New Roman" w:eastAsia="Times New Roman" w:hAnsi="Times New Roman" w:cs="Times New Roman"/>
                <w:sz w:val="18"/>
              </w:rPr>
              <w:t xml:space="preserve"> </w:t>
            </w:r>
          </w:p>
          <w:p w14:paraId="54E2CC5E" w14:textId="77777777" w:rsidR="00373DFF" w:rsidRPr="00FD1DC0" w:rsidRDefault="00373DFF" w:rsidP="00373DFF">
            <w:pPr>
              <w:spacing w:after="0" w:line="259" w:lineRule="auto"/>
              <w:ind w:left="103" w:right="0" w:firstLine="0"/>
              <w:jc w:val="center"/>
            </w:pPr>
            <w:r w:rsidRPr="00FD1DC0">
              <w:rPr>
                <w:rFonts w:ascii="Times New Roman" w:eastAsia="Times New Roman" w:hAnsi="Times New Roman" w:cs="Times New Roman"/>
                <w:b/>
                <w:sz w:val="18"/>
              </w:rPr>
              <w:t>Régimen 1 (Baja Volatilidad)</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1BC724B7" w14:textId="277B1171" w:rsidR="00373DFF" w:rsidRPr="00FD1DC0" w:rsidRDefault="008E0187" w:rsidP="00373DFF">
            <w:pPr>
              <w:spacing w:after="0" w:line="259" w:lineRule="auto"/>
              <w:ind w:left="259" w:right="0" w:firstLine="0"/>
              <w:jc w:val="left"/>
            </w:pPr>
            <w:r w:rsidRPr="00FD1DC0">
              <w:rPr>
                <w:rFonts w:ascii="Times New Roman" w:eastAsia="Times New Roman" w:hAnsi="Times New Roman" w:cs="Times New Roman"/>
                <w:sz w:val="18"/>
              </w:rPr>
              <w:t>-3.872</w:t>
            </w:r>
            <w:r w:rsidR="00C55DE2" w:rsidRPr="00FD1DC0">
              <w:rPr>
                <w:rFonts w:ascii="Times New Roman" w:eastAsia="Times New Roman" w:hAnsi="Times New Roman" w:cs="Times New Roman"/>
                <w:sz w:val="18"/>
              </w:rPr>
              <w:t>32</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41D84FE8" w14:textId="26430563" w:rsidR="00373DFF" w:rsidRPr="00FD1DC0" w:rsidRDefault="005B7DAF" w:rsidP="00373DFF">
            <w:pPr>
              <w:spacing w:after="0" w:line="259" w:lineRule="auto"/>
              <w:ind w:left="0" w:right="0" w:firstLine="0"/>
              <w:jc w:val="left"/>
            </w:pPr>
            <w:r w:rsidRPr="00FD1DC0">
              <w:rPr>
                <w:rFonts w:ascii="Times New Roman" w:eastAsia="Times New Roman" w:hAnsi="Times New Roman" w:cs="Times New Roman"/>
                <w:sz w:val="18"/>
              </w:rPr>
              <w:t>0.01</w:t>
            </w:r>
            <w:r w:rsidR="00C55DE2" w:rsidRPr="00FD1DC0">
              <w:rPr>
                <w:rFonts w:ascii="Times New Roman" w:eastAsia="Times New Roman" w:hAnsi="Times New Roman" w:cs="Times New Roman"/>
                <w:sz w:val="18"/>
              </w:rPr>
              <w:t>21</w:t>
            </w:r>
            <w:r w:rsidR="00373DFF" w:rsidRPr="00FD1DC0">
              <w:rPr>
                <w:rFonts w:ascii="Times New Roman" w:eastAsia="Times New Roman" w:hAnsi="Times New Roman" w:cs="Times New Roman"/>
                <w:sz w:val="18"/>
              </w:rPr>
              <w:t xml:space="preserve"> </w:t>
            </w:r>
          </w:p>
        </w:tc>
      </w:tr>
      <w:tr w:rsidR="00373DFF" w:rsidRPr="00FD1DC0" w14:paraId="53AC24DC" w14:textId="77777777" w:rsidTr="00373DFF">
        <w:trPr>
          <w:trHeight w:val="223"/>
        </w:trPr>
        <w:tc>
          <w:tcPr>
            <w:tcW w:w="2090" w:type="dxa"/>
            <w:tcBorders>
              <w:top w:val="nil"/>
              <w:left w:val="nil"/>
              <w:bottom w:val="nil"/>
              <w:right w:val="nil"/>
            </w:tcBorders>
          </w:tcPr>
          <w:p w14:paraId="60548274" w14:textId="77777777" w:rsidR="00373DFF" w:rsidRPr="00FD1DC0" w:rsidRDefault="00373DFF" w:rsidP="00373DFF">
            <w:pPr>
              <w:spacing w:after="0" w:line="259" w:lineRule="auto"/>
              <w:ind w:left="0" w:right="147" w:firstLine="0"/>
              <w:jc w:val="center"/>
            </w:pPr>
            <w:r w:rsidRPr="00FD1DC0">
              <w:rPr>
                <w:rFonts w:ascii="Times New Roman" w:eastAsia="Times New Roman" w:hAnsi="Times New Roman" w:cs="Times New Roman"/>
                <w:sz w:val="18"/>
              </w:rPr>
              <w:t xml:space="preserve">C </w:t>
            </w:r>
          </w:p>
        </w:tc>
        <w:tc>
          <w:tcPr>
            <w:tcW w:w="2628" w:type="dxa"/>
            <w:tcBorders>
              <w:top w:val="nil"/>
              <w:left w:val="nil"/>
              <w:bottom w:val="nil"/>
              <w:right w:val="nil"/>
            </w:tcBorders>
          </w:tcPr>
          <w:p w14:paraId="251D8305" w14:textId="6C1B0CFE"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t xml:space="preserve">  </w:t>
            </w:r>
            <w:r w:rsidR="00C55DE2" w:rsidRPr="00FD1DC0">
              <w:rPr>
                <w:rFonts w:ascii="Calibri" w:eastAsia="Calibri" w:hAnsi="Calibri" w:cs="Calibri"/>
                <w:sz w:val="22"/>
              </w:rPr>
              <w:t xml:space="preserve">   </w:t>
            </w:r>
            <w:r w:rsidR="007C1253" w:rsidRPr="00FD1DC0">
              <w:rPr>
                <w:rFonts w:ascii="Times New Roman" w:eastAsia="Times New Roman" w:hAnsi="Times New Roman" w:cs="Times New Roman"/>
                <w:sz w:val="18"/>
              </w:rPr>
              <w:t>1.43</w:t>
            </w:r>
            <w:r w:rsidR="00576A53" w:rsidRPr="00FD1DC0">
              <w:rPr>
                <w:rFonts w:ascii="Times New Roman" w:eastAsia="Times New Roman" w:hAnsi="Times New Roman" w:cs="Times New Roman"/>
                <w:sz w:val="18"/>
              </w:rPr>
              <w:t>3</w:t>
            </w:r>
            <w:r w:rsidR="007C1253" w:rsidRPr="00FD1DC0">
              <w:rPr>
                <w:rFonts w:ascii="Times New Roman" w:eastAsia="Times New Roman" w:hAnsi="Times New Roman" w:cs="Times New Roman"/>
                <w:sz w:val="18"/>
              </w:rPr>
              <w:t>92</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0.0001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7838195A" w14:textId="536CE62D" w:rsidR="00373DFF" w:rsidRPr="00FD1DC0" w:rsidRDefault="005B7DAF" w:rsidP="00373DFF">
            <w:pPr>
              <w:spacing w:after="0" w:line="259" w:lineRule="auto"/>
              <w:ind w:left="288" w:right="0" w:firstLine="0"/>
              <w:jc w:val="left"/>
            </w:pPr>
            <w:r w:rsidRPr="00FD1DC0">
              <w:rPr>
                <w:rFonts w:ascii="Times New Roman" w:eastAsia="Times New Roman" w:hAnsi="Times New Roman" w:cs="Times New Roman"/>
                <w:sz w:val="18"/>
              </w:rPr>
              <w:t>0.43</w:t>
            </w:r>
            <w:r w:rsidR="00373DFF" w:rsidRPr="00FD1DC0">
              <w:rPr>
                <w:rFonts w:ascii="Times New Roman" w:eastAsia="Times New Roman" w:hAnsi="Times New Roman" w:cs="Times New Roman"/>
                <w:sz w:val="18"/>
              </w:rPr>
              <w:t xml:space="preserve">895 </w:t>
            </w:r>
          </w:p>
        </w:tc>
        <w:tc>
          <w:tcPr>
            <w:tcW w:w="799" w:type="dxa"/>
            <w:tcBorders>
              <w:top w:val="nil"/>
              <w:left w:val="nil"/>
              <w:bottom w:val="nil"/>
              <w:right w:val="nil"/>
            </w:tcBorders>
          </w:tcPr>
          <w:p w14:paraId="1B3176ED" w14:textId="20A3289A"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0.0202</w:t>
            </w:r>
            <w:r w:rsidR="00373DFF" w:rsidRPr="00FD1DC0">
              <w:rPr>
                <w:rFonts w:ascii="Times New Roman" w:eastAsia="Times New Roman" w:hAnsi="Times New Roman" w:cs="Times New Roman"/>
                <w:sz w:val="18"/>
              </w:rPr>
              <w:t xml:space="preserve"> </w:t>
            </w:r>
          </w:p>
        </w:tc>
      </w:tr>
      <w:tr w:rsidR="00111AE3" w:rsidRPr="00FD1DC0" w14:paraId="61EB3302" w14:textId="77777777" w:rsidTr="00373DFF">
        <w:trPr>
          <w:trHeight w:val="224"/>
        </w:trPr>
        <w:tc>
          <w:tcPr>
            <w:tcW w:w="2090" w:type="dxa"/>
            <w:tcBorders>
              <w:top w:val="nil"/>
              <w:left w:val="nil"/>
              <w:bottom w:val="nil"/>
              <w:right w:val="nil"/>
            </w:tcBorders>
          </w:tcPr>
          <w:p w14:paraId="0E0EDFB2" w14:textId="29D21426" w:rsidR="00111AE3" w:rsidRPr="00FD1DC0" w:rsidRDefault="00111AE3" w:rsidP="00111AE3">
            <w:pPr>
              <w:spacing w:after="0" w:line="259" w:lineRule="auto"/>
              <w:ind w:left="214" w:right="0" w:firstLine="0"/>
              <w:jc w:val="left"/>
            </w:pPr>
            <w:r w:rsidRPr="00FD1DC0">
              <w:rPr>
                <w:rFonts w:ascii="Times New Roman" w:eastAsia="Times New Roman" w:hAnsi="Times New Roman" w:cs="Times New Roman"/>
                <w:sz w:val="18"/>
              </w:rPr>
              <w:t xml:space="preserve">Tasa de interes </w:t>
            </w:r>
          </w:p>
        </w:tc>
        <w:tc>
          <w:tcPr>
            <w:tcW w:w="2628" w:type="dxa"/>
            <w:tcBorders>
              <w:top w:val="nil"/>
              <w:left w:val="nil"/>
              <w:bottom w:val="nil"/>
              <w:right w:val="nil"/>
            </w:tcBorders>
          </w:tcPr>
          <w:p w14:paraId="6BA865FC" w14:textId="77AB9486" w:rsidR="00111AE3" w:rsidRPr="00FD1DC0" w:rsidRDefault="00111AE3" w:rsidP="00111AE3">
            <w:pPr>
              <w:tabs>
                <w:tab w:val="center" w:pos="2036"/>
              </w:tabs>
              <w:spacing w:after="0" w:line="259" w:lineRule="auto"/>
              <w:ind w:left="0" w:right="0" w:firstLine="0"/>
              <w:jc w:val="left"/>
            </w:pPr>
            <w:r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-0.16261</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0.0</w:t>
            </w:r>
            <w:r w:rsidR="005B7DAF" w:rsidRPr="00FD1DC0">
              <w:rPr>
                <w:rFonts w:ascii="Times New Roman" w:eastAsia="Times New Roman" w:hAnsi="Times New Roman" w:cs="Times New Roman"/>
                <w:sz w:val="18"/>
              </w:rPr>
              <w:t>1</w:t>
            </w:r>
            <w:r w:rsidR="00C55DE2" w:rsidRPr="00FD1DC0">
              <w:rPr>
                <w:rFonts w:ascii="Times New Roman" w:eastAsia="Times New Roman" w:hAnsi="Times New Roman" w:cs="Times New Roman"/>
                <w:sz w:val="18"/>
              </w:rPr>
              <w:t>12</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365D68D6" w14:textId="6A87FD11" w:rsidR="00111AE3" w:rsidRPr="00FD1DC0" w:rsidRDefault="00111AE3" w:rsidP="00111AE3">
            <w:pPr>
              <w:spacing w:after="0" w:line="259" w:lineRule="auto"/>
              <w:ind w:left="0" w:right="0" w:firstLine="0"/>
              <w:jc w:val="left"/>
            </w:pPr>
            <w:r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 xml:space="preserve"> -0.231</w:t>
            </w:r>
            <w:r w:rsidRPr="00FD1DC0">
              <w:rPr>
                <w:rFonts w:ascii="Times New Roman" w:eastAsia="Times New Roman" w:hAnsi="Times New Roman" w:cs="Times New Roman"/>
                <w:sz w:val="18"/>
              </w:rPr>
              <w:t xml:space="preserve">87 </w:t>
            </w:r>
          </w:p>
        </w:tc>
        <w:tc>
          <w:tcPr>
            <w:tcW w:w="799" w:type="dxa"/>
            <w:tcBorders>
              <w:top w:val="nil"/>
              <w:left w:val="nil"/>
              <w:bottom w:val="nil"/>
              <w:right w:val="nil"/>
            </w:tcBorders>
          </w:tcPr>
          <w:p w14:paraId="388BAFFC" w14:textId="1B7F424B" w:rsidR="00111AE3" w:rsidRPr="00FD1DC0" w:rsidRDefault="00C55DE2" w:rsidP="00111AE3">
            <w:pPr>
              <w:spacing w:after="0" w:line="259" w:lineRule="auto"/>
              <w:ind w:left="0" w:right="0" w:firstLine="0"/>
              <w:jc w:val="left"/>
            </w:pPr>
            <w:r w:rsidRPr="00FD1DC0">
              <w:rPr>
                <w:rFonts w:ascii="Times New Roman" w:eastAsia="Times New Roman" w:hAnsi="Times New Roman" w:cs="Times New Roman"/>
                <w:sz w:val="18"/>
              </w:rPr>
              <w:t>0.0104</w:t>
            </w:r>
            <w:r w:rsidR="00111AE3" w:rsidRPr="00FD1DC0">
              <w:rPr>
                <w:rFonts w:ascii="Times New Roman" w:eastAsia="Times New Roman" w:hAnsi="Times New Roman" w:cs="Times New Roman"/>
                <w:sz w:val="18"/>
              </w:rPr>
              <w:t xml:space="preserve"> </w:t>
            </w:r>
          </w:p>
        </w:tc>
      </w:tr>
      <w:tr w:rsidR="00111AE3" w:rsidRPr="00FD1DC0" w14:paraId="27E87A54" w14:textId="77777777" w:rsidTr="00373DFF">
        <w:trPr>
          <w:trHeight w:val="224"/>
        </w:trPr>
        <w:tc>
          <w:tcPr>
            <w:tcW w:w="2090" w:type="dxa"/>
            <w:tcBorders>
              <w:top w:val="nil"/>
              <w:left w:val="nil"/>
              <w:bottom w:val="nil"/>
              <w:right w:val="nil"/>
            </w:tcBorders>
          </w:tcPr>
          <w:p w14:paraId="1710B31D" w14:textId="0C567D53" w:rsidR="00111AE3" w:rsidRPr="00FD1DC0" w:rsidRDefault="00111AE3" w:rsidP="00111AE3">
            <w:pPr>
              <w:spacing w:after="0" w:line="259" w:lineRule="auto"/>
              <w:ind w:left="214" w:right="0" w:firstLine="0"/>
              <w:jc w:val="left"/>
            </w:pPr>
            <w:r w:rsidRPr="00FD1DC0">
              <w:rPr>
                <w:rFonts w:ascii="Times New Roman" w:eastAsia="Times New Roman" w:hAnsi="Times New Roman" w:cs="Times New Roman"/>
                <w:sz w:val="18"/>
              </w:rPr>
              <w:t>RIN</w:t>
            </w:r>
          </w:p>
        </w:tc>
        <w:tc>
          <w:tcPr>
            <w:tcW w:w="2628" w:type="dxa"/>
            <w:tcBorders>
              <w:top w:val="nil"/>
              <w:left w:val="nil"/>
              <w:bottom w:val="nil"/>
              <w:right w:val="nil"/>
            </w:tcBorders>
          </w:tcPr>
          <w:p w14:paraId="76B41BC6" w14:textId="7F8852CC" w:rsidR="00111AE3" w:rsidRPr="00FD1DC0" w:rsidRDefault="00111AE3" w:rsidP="00111AE3">
            <w:pPr>
              <w:tabs>
                <w:tab w:val="center" w:pos="723"/>
                <w:tab w:val="center" w:pos="2036"/>
              </w:tabs>
              <w:spacing w:after="0" w:line="259" w:lineRule="auto"/>
              <w:ind w:left="0" w:right="0" w:firstLine="0"/>
              <w:jc w:val="left"/>
              <w:rPr>
                <w:lang w:val="es-BO"/>
              </w:rPr>
            </w:pPr>
            <w:r w:rsidRPr="00FD1DC0">
              <w:rPr>
                <w:rFonts w:ascii="Calibri" w:eastAsia="Calibri" w:hAnsi="Calibri" w:cs="Calibri"/>
                <w:sz w:val="22"/>
                <w:lang w:val="es-BO"/>
              </w:rPr>
              <w:tab/>
            </w:r>
            <w:r w:rsidRPr="00FD1DC0">
              <w:rPr>
                <w:rFonts w:ascii="Times New Roman" w:eastAsia="Times New Roman" w:hAnsi="Times New Roman" w:cs="Times New Roman"/>
                <w:sz w:val="18"/>
                <w:lang w:val="es-BO"/>
              </w:rPr>
              <w:t xml:space="preserve">   </w:t>
            </w:r>
            <w:r w:rsidR="007C1253" w:rsidRPr="00FD1DC0">
              <w:rPr>
                <w:rFonts w:ascii="Times New Roman" w:eastAsia="Times New Roman" w:hAnsi="Times New Roman" w:cs="Times New Roman"/>
                <w:sz w:val="18"/>
                <w:lang w:val="es-BO"/>
              </w:rPr>
              <w:t>-0.20365</w:t>
            </w:r>
            <w:r w:rsidR="005B7DAF" w:rsidRPr="00FD1DC0">
              <w:rPr>
                <w:rFonts w:ascii="Times New Roman" w:eastAsia="Times New Roman" w:hAnsi="Times New Roman" w:cs="Times New Roman"/>
                <w:sz w:val="18"/>
                <w:lang w:val="es-BO"/>
              </w:rPr>
              <w:t xml:space="preserve"> </w:t>
            </w:r>
            <w:r w:rsidR="005B7DAF" w:rsidRPr="00FD1DC0">
              <w:rPr>
                <w:rFonts w:ascii="Times New Roman" w:eastAsia="Times New Roman" w:hAnsi="Times New Roman" w:cs="Times New Roman"/>
                <w:sz w:val="18"/>
                <w:lang w:val="es-BO"/>
              </w:rPr>
              <w:tab/>
              <w:t>0.05</w:t>
            </w:r>
            <w:r w:rsidR="00C55DE2" w:rsidRPr="00FD1DC0">
              <w:rPr>
                <w:rFonts w:ascii="Times New Roman" w:eastAsia="Times New Roman" w:hAnsi="Times New Roman" w:cs="Times New Roman"/>
                <w:sz w:val="18"/>
                <w:lang w:val="es-BO"/>
              </w:rPr>
              <w:t>55</w:t>
            </w:r>
            <w:r w:rsidRPr="00FD1DC0">
              <w:rPr>
                <w:rFonts w:ascii="Times New Roman" w:eastAsia="Times New Roman" w:hAnsi="Times New Roman" w:cs="Times New Roman"/>
                <w:sz w:val="18"/>
                <w:lang w:val="es-BO"/>
              </w:rPr>
              <w:t xml:space="preserve"> </w:t>
            </w:r>
          </w:p>
        </w:tc>
        <w:tc>
          <w:tcPr>
            <w:tcW w:w="1511" w:type="dxa"/>
            <w:tcBorders>
              <w:top w:val="nil"/>
              <w:left w:val="nil"/>
              <w:bottom w:val="nil"/>
              <w:right w:val="nil"/>
            </w:tcBorders>
          </w:tcPr>
          <w:p w14:paraId="769A7CA1" w14:textId="57000C8F" w:rsidR="00111AE3" w:rsidRPr="00FD1DC0" w:rsidRDefault="005B7DAF" w:rsidP="00111AE3">
            <w:pPr>
              <w:spacing w:after="0" w:line="259" w:lineRule="auto"/>
              <w:ind w:left="288" w:right="0" w:firstLine="0"/>
              <w:jc w:val="left"/>
              <w:rPr>
                <w:lang w:val="es-BO"/>
              </w:rPr>
            </w:pPr>
            <w:r w:rsidRPr="00FD1DC0">
              <w:rPr>
                <w:rFonts w:ascii="Times New Roman" w:eastAsia="Times New Roman" w:hAnsi="Times New Roman" w:cs="Times New Roman"/>
                <w:sz w:val="18"/>
                <w:lang w:val="es-BO"/>
              </w:rPr>
              <w:t>0.41</w:t>
            </w:r>
            <w:r w:rsidR="00111AE3" w:rsidRPr="00FD1DC0">
              <w:rPr>
                <w:rFonts w:ascii="Times New Roman" w:eastAsia="Times New Roman" w:hAnsi="Times New Roman" w:cs="Times New Roman"/>
                <w:sz w:val="18"/>
                <w:lang w:val="es-BO"/>
              </w:rPr>
              <w:t xml:space="preserve">314 </w:t>
            </w:r>
          </w:p>
        </w:tc>
        <w:tc>
          <w:tcPr>
            <w:tcW w:w="799" w:type="dxa"/>
            <w:tcBorders>
              <w:top w:val="nil"/>
              <w:left w:val="nil"/>
              <w:bottom w:val="nil"/>
              <w:right w:val="nil"/>
            </w:tcBorders>
          </w:tcPr>
          <w:p w14:paraId="1FAC1684" w14:textId="389A4363" w:rsidR="00111AE3" w:rsidRPr="00FD1DC0" w:rsidRDefault="00C55DE2" w:rsidP="00111AE3">
            <w:pPr>
              <w:spacing w:after="0" w:line="259" w:lineRule="auto"/>
              <w:ind w:left="0" w:right="0" w:firstLine="0"/>
              <w:jc w:val="left"/>
              <w:rPr>
                <w:lang w:val="es-BO"/>
              </w:rPr>
            </w:pPr>
            <w:r w:rsidRPr="00FD1DC0">
              <w:rPr>
                <w:rFonts w:ascii="Times New Roman" w:eastAsia="Times New Roman" w:hAnsi="Times New Roman" w:cs="Times New Roman"/>
                <w:sz w:val="18"/>
                <w:lang w:val="es-BO"/>
              </w:rPr>
              <w:t>0.0435</w:t>
            </w:r>
            <w:r w:rsidR="00111AE3" w:rsidRPr="00FD1DC0">
              <w:rPr>
                <w:rFonts w:ascii="Times New Roman" w:eastAsia="Times New Roman" w:hAnsi="Times New Roman" w:cs="Times New Roman"/>
                <w:sz w:val="18"/>
                <w:lang w:val="es-BO"/>
              </w:rPr>
              <w:t xml:space="preserve"> </w:t>
            </w:r>
          </w:p>
        </w:tc>
      </w:tr>
      <w:tr w:rsidR="00111AE3" w:rsidRPr="00FD1DC0" w14:paraId="64504AB7" w14:textId="77777777" w:rsidTr="00373DFF">
        <w:trPr>
          <w:trHeight w:val="224"/>
        </w:trPr>
        <w:tc>
          <w:tcPr>
            <w:tcW w:w="2090" w:type="dxa"/>
            <w:tcBorders>
              <w:top w:val="nil"/>
              <w:left w:val="nil"/>
              <w:bottom w:val="nil"/>
              <w:right w:val="nil"/>
            </w:tcBorders>
          </w:tcPr>
          <w:p w14:paraId="1CA9C115" w14:textId="7B2B53D9" w:rsidR="00111AE3" w:rsidRPr="00FD1DC0" w:rsidRDefault="00111AE3" w:rsidP="00111AE3">
            <w:pPr>
              <w:spacing w:after="0" w:line="259" w:lineRule="auto"/>
              <w:ind w:left="214" w:right="0" w:firstLine="0"/>
              <w:jc w:val="left"/>
              <w:rPr>
                <w:lang w:val="es-BO"/>
              </w:rPr>
            </w:pPr>
            <w:r w:rsidRPr="00FD1DC0">
              <w:rPr>
                <w:rFonts w:ascii="Times New Roman" w:eastAsia="Times New Roman" w:hAnsi="Times New Roman" w:cs="Times New Roman"/>
                <w:sz w:val="18"/>
              </w:rPr>
              <w:t>dummy de metas inflación</w:t>
            </w:r>
          </w:p>
        </w:tc>
        <w:tc>
          <w:tcPr>
            <w:tcW w:w="2628" w:type="dxa"/>
            <w:tcBorders>
              <w:top w:val="nil"/>
              <w:left w:val="nil"/>
              <w:bottom w:val="nil"/>
              <w:right w:val="nil"/>
            </w:tcBorders>
          </w:tcPr>
          <w:p w14:paraId="376110EE" w14:textId="696F959D" w:rsidR="00111AE3" w:rsidRPr="00FD1DC0" w:rsidRDefault="00111AE3" w:rsidP="00111AE3">
            <w:pPr>
              <w:tabs>
                <w:tab w:val="center" w:pos="723"/>
                <w:tab w:val="center" w:pos="2036"/>
              </w:tabs>
              <w:spacing w:after="0" w:line="259" w:lineRule="auto"/>
              <w:ind w:left="0" w:right="0" w:firstLine="0"/>
              <w:jc w:val="left"/>
              <w:rPr>
                <w:lang w:val="es-BO"/>
              </w:rPr>
            </w:pPr>
            <w:r w:rsidRPr="00FD1DC0">
              <w:rPr>
                <w:rFonts w:ascii="Calibri" w:eastAsia="Calibri" w:hAnsi="Calibri" w:cs="Calibri"/>
                <w:sz w:val="22"/>
                <w:lang w:val="es-BO"/>
              </w:rPr>
              <w:tab/>
            </w:r>
            <w:r w:rsidRPr="00FD1DC0">
              <w:rPr>
                <w:rFonts w:ascii="Times New Roman" w:eastAsia="Times New Roman" w:hAnsi="Times New Roman" w:cs="Times New Roman"/>
                <w:sz w:val="18"/>
                <w:lang w:val="es-BO"/>
              </w:rPr>
              <w:t xml:space="preserve">   </w:t>
            </w:r>
            <w:r w:rsidR="007C1253" w:rsidRPr="00FD1DC0">
              <w:rPr>
                <w:rFonts w:ascii="Times New Roman" w:eastAsia="Times New Roman" w:hAnsi="Times New Roman" w:cs="Times New Roman"/>
                <w:sz w:val="18"/>
                <w:lang w:val="es-BO"/>
              </w:rPr>
              <w:t>-0.16876</w:t>
            </w:r>
            <w:r w:rsidR="005B7DAF" w:rsidRPr="00FD1DC0">
              <w:rPr>
                <w:rFonts w:ascii="Times New Roman" w:eastAsia="Times New Roman" w:hAnsi="Times New Roman" w:cs="Times New Roman"/>
                <w:sz w:val="18"/>
                <w:lang w:val="es-BO"/>
              </w:rPr>
              <w:t xml:space="preserve"> </w:t>
            </w:r>
            <w:r w:rsidR="005B7DAF" w:rsidRPr="00FD1DC0">
              <w:rPr>
                <w:rFonts w:ascii="Times New Roman" w:eastAsia="Times New Roman" w:hAnsi="Times New Roman" w:cs="Times New Roman"/>
                <w:sz w:val="18"/>
                <w:lang w:val="es-BO"/>
              </w:rPr>
              <w:tab/>
              <w:t>0.04</w:t>
            </w:r>
            <w:r w:rsidR="00C55DE2" w:rsidRPr="00FD1DC0">
              <w:rPr>
                <w:rFonts w:ascii="Times New Roman" w:eastAsia="Times New Roman" w:hAnsi="Times New Roman" w:cs="Times New Roman"/>
                <w:sz w:val="18"/>
                <w:lang w:val="es-BO"/>
              </w:rPr>
              <w:t>77</w:t>
            </w:r>
            <w:r w:rsidRPr="00FD1DC0">
              <w:rPr>
                <w:rFonts w:ascii="Times New Roman" w:eastAsia="Times New Roman" w:hAnsi="Times New Roman" w:cs="Times New Roman"/>
                <w:sz w:val="18"/>
                <w:lang w:val="es-BO"/>
              </w:rPr>
              <w:t xml:space="preserve"> </w:t>
            </w:r>
          </w:p>
        </w:tc>
        <w:tc>
          <w:tcPr>
            <w:tcW w:w="1511" w:type="dxa"/>
            <w:tcBorders>
              <w:top w:val="nil"/>
              <w:left w:val="nil"/>
              <w:bottom w:val="nil"/>
              <w:right w:val="nil"/>
            </w:tcBorders>
          </w:tcPr>
          <w:p w14:paraId="21D34D2F" w14:textId="5788064D" w:rsidR="00111AE3" w:rsidRPr="00FD1DC0" w:rsidRDefault="005B7DAF" w:rsidP="00111AE3">
            <w:pPr>
              <w:spacing w:after="0" w:line="259" w:lineRule="auto"/>
              <w:ind w:left="288" w:right="0" w:firstLine="0"/>
              <w:jc w:val="left"/>
              <w:rPr>
                <w:lang w:val="es-BO"/>
              </w:rPr>
            </w:pPr>
            <w:r w:rsidRPr="00FD1DC0">
              <w:rPr>
                <w:rFonts w:ascii="Times New Roman" w:eastAsia="Times New Roman" w:hAnsi="Times New Roman" w:cs="Times New Roman"/>
                <w:sz w:val="18"/>
                <w:lang w:val="es-BO"/>
              </w:rPr>
              <w:t>0.12</w:t>
            </w:r>
            <w:r w:rsidR="00111AE3" w:rsidRPr="00FD1DC0">
              <w:rPr>
                <w:rFonts w:ascii="Times New Roman" w:eastAsia="Times New Roman" w:hAnsi="Times New Roman" w:cs="Times New Roman"/>
                <w:sz w:val="18"/>
                <w:lang w:val="es-BO"/>
              </w:rPr>
              <w:t xml:space="preserve">314 </w:t>
            </w:r>
          </w:p>
        </w:tc>
        <w:tc>
          <w:tcPr>
            <w:tcW w:w="799" w:type="dxa"/>
            <w:tcBorders>
              <w:top w:val="nil"/>
              <w:left w:val="nil"/>
              <w:bottom w:val="nil"/>
              <w:right w:val="nil"/>
            </w:tcBorders>
          </w:tcPr>
          <w:p w14:paraId="4244CBEE" w14:textId="403304FB" w:rsidR="00111AE3" w:rsidRPr="00FD1DC0" w:rsidRDefault="00C55DE2" w:rsidP="00111AE3">
            <w:pPr>
              <w:spacing w:after="0" w:line="259" w:lineRule="auto"/>
              <w:ind w:left="0" w:right="0" w:firstLine="0"/>
              <w:jc w:val="left"/>
              <w:rPr>
                <w:lang w:val="es-BO"/>
              </w:rPr>
            </w:pPr>
            <w:r w:rsidRPr="00FD1DC0">
              <w:rPr>
                <w:rFonts w:ascii="Times New Roman" w:eastAsia="Times New Roman" w:hAnsi="Times New Roman" w:cs="Times New Roman"/>
                <w:sz w:val="18"/>
                <w:lang w:val="es-BO"/>
              </w:rPr>
              <w:t>0.0846</w:t>
            </w:r>
            <w:r w:rsidR="00111AE3" w:rsidRPr="00FD1DC0">
              <w:rPr>
                <w:rFonts w:ascii="Times New Roman" w:eastAsia="Times New Roman" w:hAnsi="Times New Roman" w:cs="Times New Roman"/>
                <w:sz w:val="18"/>
                <w:lang w:val="es-BO"/>
              </w:rPr>
              <w:t xml:space="preserve"> </w:t>
            </w:r>
          </w:p>
        </w:tc>
      </w:tr>
      <w:tr w:rsidR="00111AE3" w:rsidRPr="00FD1DC0" w14:paraId="77F8AF06" w14:textId="77777777" w:rsidTr="00373DFF">
        <w:trPr>
          <w:trHeight w:val="224"/>
        </w:trPr>
        <w:tc>
          <w:tcPr>
            <w:tcW w:w="2090" w:type="dxa"/>
            <w:tcBorders>
              <w:top w:val="nil"/>
              <w:left w:val="nil"/>
              <w:bottom w:val="nil"/>
              <w:right w:val="nil"/>
            </w:tcBorders>
          </w:tcPr>
          <w:p w14:paraId="774F45D7" w14:textId="5902B9A3" w:rsidR="00111AE3" w:rsidRPr="00FD1DC0" w:rsidRDefault="00111AE3" w:rsidP="00111AE3">
            <w:pPr>
              <w:spacing w:after="0" w:line="259" w:lineRule="auto"/>
              <w:ind w:left="214" w:right="0" w:firstLine="0"/>
              <w:jc w:val="left"/>
              <w:rPr>
                <w:lang w:val="es-BO"/>
              </w:rPr>
            </w:pPr>
            <w:r w:rsidRPr="00FD1DC0">
              <w:rPr>
                <w:rFonts w:ascii="Times New Roman" w:eastAsia="Times New Roman" w:hAnsi="Times New Roman" w:cs="Times New Roman"/>
                <w:sz w:val="18"/>
              </w:rPr>
              <w:t xml:space="preserve">Deuda Interna </w:t>
            </w:r>
          </w:p>
        </w:tc>
        <w:tc>
          <w:tcPr>
            <w:tcW w:w="2628" w:type="dxa"/>
            <w:tcBorders>
              <w:top w:val="nil"/>
              <w:left w:val="nil"/>
              <w:bottom w:val="nil"/>
              <w:right w:val="nil"/>
            </w:tcBorders>
          </w:tcPr>
          <w:p w14:paraId="37373082" w14:textId="2D93D9C0" w:rsidR="00111AE3" w:rsidRPr="00FD1DC0" w:rsidRDefault="00111AE3" w:rsidP="00111AE3">
            <w:pPr>
              <w:tabs>
                <w:tab w:val="center" w:pos="723"/>
                <w:tab w:val="center" w:pos="2036"/>
              </w:tabs>
              <w:spacing w:after="0" w:line="259" w:lineRule="auto"/>
              <w:ind w:left="0" w:right="0" w:firstLine="0"/>
              <w:jc w:val="left"/>
              <w:rPr>
                <w:lang w:val="es-BO"/>
              </w:rPr>
            </w:pPr>
            <w:r w:rsidRPr="00FD1DC0">
              <w:rPr>
                <w:rFonts w:ascii="Calibri" w:eastAsia="Calibri" w:hAnsi="Calibri" w:cs="Calibri"/>
                <w:sz w:val="22"/>
                <w:lang w:val="es-BO"/>
              </w:rPr>
              <w:tab/>
            </w:r>
            <w:r w:rsidRPr="00FD1DC0">
              <w:rPr>
                <w:rFonts w:ascii="Times New Roman" w:eastAsia="Times New Roman" w:hAnsi="Times New Roman" w:cs="Times New Roman"/>
                <w:sz w:val="18"/>
                <w:lang w:val="es-BO"/>
              </w:rPr>
              <w:t xml:space="preserve">   </w:t>
            </w:r>
            <w:r w:rsidR="007C1253" w:rsidRPr="00FD1DC0">
              <w:rPr>
                <w:rFonts w:ascii="Times New Roman" w:eastAsia="Times New Roman" w:hAnsi="Times New Roman" w:cs="Times New Roman"/>
                <w:sz w:val="18"/>
                <w:lang w:val="es-BO"/>
              </w:rPr>
              <w:t>-0.22765</w:t>
            </w:r>
            <w:r w:rsidR="00C05B25" w:rsidRPr="00FD1DC0">
              <w:rPr>
                <w:rFonts w:ascii="Times New Roman" w:eastAsia="Times New Roman" w:hAnsi="Times New Roman" w:cs="Times New Roman"/>
                <w:sz w:val="18"/>
                <w:lang w:val="es-BO"/>
              </w:rPr>
              <w:t xml:space="preserve"> </w:t>
            </w:r>
            <w:r w:rsidR="00C05B25" w:rsidRPr="00FD1DC0">
              <w:rPr>
                <w:rFonts w:ascii="Times New Roman" w:eastAsia="Times New Roman" w:hAnsi="Times New Roman" w:cs="Times New Roman"/>
                <w:sz w:val="18"/>
                <w:lang w:val="es-BO"/>
              </w:rPr>
              <w:tab/>
              <w:t>0.05</w:t>
            </w:r>
            <w:r w:rsidR="00C55DE2" w:rsidRPr="00FD1DC0">
              <w:rPr>
                <w:rFonts w:ascii="Times New Roman" w:eastAsia="Times New Roman" w:hAnsi="Times New Roman" w:cs="Times New Roman"/>
                <w:sz w:val="18"/>
                <w:lang w:val="es-BO"/>
              </w:rPr>
              <w:t>11</w:t>
            </w:r>
            <w:r w:rsidRPr="00FD1DC0">
              <w:rPr>
                <w:rFonts w:ascii="Times New Roman" w:eastAsia="Times New Roman" w:hAnsi="Times New Roman" w:cs="Times New Roman"/>
                <w:sz w:val="18"/>
                <w:lang w:val="es-BO"/>
              </w:rPr>
              <w:t xml:space="preserve"> </w:t>
            </w:r>
          </w:p>
        </w:tc>
        <w:tc>
          <w:tcPr>
            <w:tcW w:w="1511" w:type="dxa"/>
            <w:tcBorders>
              <w:top w:val="nil"/>
              <w:left w:val="nil"/>
              <w:bottom w:val="nil"/>
              <w:right w:val="nil"/>
            </w:tcBorders>
          </w:tcPr>
          <w:p w14:paraId="5B4CB82D" w14:textId="3DCCD2B0" w:rsidR="00111AE3" w:rsidRPr="00FD1DC0" w:rsidRDefault="005B7DAF" w:rsidP="00111AE3">
            <w:pPr>
              <w:spacing w:after="0" w:line="259" w:lineRule="auto"/>
              <w:ind w:left="288" w:right="0" w:firstLine="0"/>
              <w:jc w:val="left"/>
              <w:rPr>
                <w:lang w:val="es-BO"/>
              </w:rPr>
            </w:pPr>
            <w:r w:rsidRPr="00FD1DC0">
              <w:rPr>
                <w:rFonts w:ascii="Times New Roman" w:eastAsia="Times New Roman" w:hAnsi="Times New Roman" w:cs="Times New Roman"/>
                <w:sz w:val="18"/>
                <w:lang w:val="es-BO"/>
              </w:rPr>
              <w:t>0.124</w:t>
            </w:r>
            <w:r w:rsidR="00111AE3" w:rsidRPr="00FD1DC0">
              <w:rPr>
                <w:rFonts w:ascii="Times New Roman" w:eastAsia="Times New Roman" w:hAnsi="Times New Roman" w:cs="Times New Roman"/>
                <w:sz w:val="18"/>
                <w:lang w:val="es-BO"/>
              </w:rPr>
              <w:t xml:space="preserve">14 </w:t>
            </w:r>
          </w:p>
        </w:tc>
        <w:tc>
          <w:tcPr>
            <w:tcW w:w="799" w:type="dxa"/>
            <w:tcBorders>
              <w:top w:val="nil"/>
              <w:left w:val="nil"/>
              <w:bottom w:val="nil"/>
              <w:right w:val="nil"/>
            </w:tcBorders>
          </w:tcPr>
          <w:p w14:paraId="29428518" w14:textId="61BEFB85" w:rsidR="00111AE3" w:rsidRPr="00FD1DC0" w:rsidRDefault="00C05B25" w:rsidP="00111AE3">
            <w:pPr>
              <w:spacing w:after="0" w:line="259" w:lineRule="auto"/>
              <w:ind w:left="0" w:right="0" w:firstLine="0"/>
              <w:jc w:val="left"/>
              <w:rPr>
                <w:lang w:val="es-BO"/>
              </w:rPr>
            </w:pPr>
            <w:r w:rsidRPr="00FD1DC0">
              <w:rPr>
                <w:rFonts w:ascii="Times New Roman" w:eastAsia="Times New Roman" w:hAnsi="Times New Roman" w:cs="Times New Roman"/>
                <w:sz w:val="18"/>
                <w:lang w:val="es-BO"/>
              </w:rPr>
              <w:t>0.07</w:t>
            </w:r>
            <w:r w:rsidR="00C55DE2" w:rsidRPr="00FD1DC0">
              <w:rPr>
                <w:rFonts w:ascii="Times New Roman" w:eastAsia="Times New Roman" w:hAnsi="Times New Roman" w:cs="Times New Roman"/>
                <w:sz w:val="18"/>
                <w:lang w:val="es-BO"/>
              </w:rPr>
              <w:t>42</w:t>
            </w:r>
            <w:r w:rsidR="00111AE3" w:rsidRPr="00FD1DC0">
              <w:rPr>
                <w:rFonts w:ascii="Times New Roman" w:eastAsia="Times New Roman" w:hAnsi="Times New Roman" w:cs="Times New Roman"/>
                <w:sz w:val="18"/>
                <w:lang w:val="es-BO"/>
              </w:rPr>
              <w:t xml:space="preserve"> </w:t>
            </w:r>
          </w:p>
        </w:tc>
      </w:tr>
      <w:tr w:rsidR="007C1253" w:rsidRPr="00FD1DC0" w14:paraId="12C26E1F" w14:textId="77777777" w:rsidTr="00373DFF">
        <w:trPr>
          <w:trHeight w:val="224"/>
        </w:trPr>
        <w:tc>
          <w:tcPr>
            <w:tcW w:w="2090" w:type="dxa"/>
            <w:tcBorders>
              <w:top w:val="nil"/>
              <w:left w:val="nil"/>
              <w:bottom w:val="nil"/>
              <w:right w:val="nil"/>
            </w:tcBorders>
          </w:tcPr>
          <w:p w14:paraId="61C88A64" w14:textId="5898948E" w:rsidR="007C1253" w:rsidRPr="00FD1DC0" w:rsidRDefault="007C1253" w:rsidP="007C1253">
            <w:pPr>
              <w:spacing w:after="0" w:line="259" w:lineRule="auto"/>
              <w:ind w:left="214"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Tasa de inflación</w:t>
            </w:r>
          </w:p>
        </w:tc>
        <w:tc>
          <w:tcPr>
            <w:tcW w:w="2628" w:type="dxa"/>
            <w:tcBorders>
              <w:top w:val="nil"/>
              <w:left w:val="nil"/>
              <w:bottom w:val="nil"/>
              <w:right w:val="nil"/>
            </w:tcBorders>
          </w:tcPr>
          <w:p w14:paraId="65720A86" w14:textId="16DA7B53" w:rsidR="007C1253" w:rsidRPr="00FD1DC0" w:rsidRDefault="007C1253" w:rsidP="007C1253">
            <w:pPr>
              <w:tabs>
                <w:tab w:val="center" w:pos="723"/>
                <w:tab w:val="center" w:pos="2036"/>
              </w:tabs>
              <w:spacing w:after="0" w:line="259" w:lineRule="auto"/>
              <w:ind w:left="0" w:right="0" w:firstLine="0"/>
              <w:jc w:val="left"/>
              <w:rPr>
                <w:rFonts w:ascii="Calibri" w:eastAsia="Calibri" w:hAnsi="Calibri" w:cs="Calibri"/>
                <w:sz w:val="22"/>
                <w:lang w:val="es-BO"/>
              </w:rPr>
            </w:pPr>
            <w:r w:rsidRPr="00FD1DC0">
              <w:rPr>
                <w:rFonts w:ascii="Calibri" w:eastAsia="Calibri" w:hAnsi="Calibri" w:cs="Calibri"/>
                <w:sz w:val="22"/>
              </w:rPr>
              <w:tab/>
            </w:r>
            <w:r w:rsidRPr="00FD1DC0">
              <w:rPr>
                <w:rFonts w:ascii="Times New Roman" w:eastAsia="Times New Roman" w:hAnsi="Times New Roman" w:cs="Times New Roman"/>
                <w:sz w:val="18"/>
              </w:rPr>
              <w:t xml:space="preserve">   0.54652 </w:t>
            </w:r>
            <w:r w:rsidRPr="00FD1DC0">
              <w:rPr>
                <w:rFonts w:ascii="Times New Roman" w:eastAsia="Times New Roman" w:hAnsi="Times New Roman" w:cs="Times New Roman"/>
                <w:sz w:val="18"/>
              </w:rPr>
              <w:tab/>
              <w:t>0</w:t>
            </w:r>
            <w:r w:rsidR="00C05B25" w:rsidRPr="00FD1DC0">
              <w:rPr>
                <w:rFonts w:ascii="Times New Roman" w:eastAsia="Times New Roman" w:hAnsi="Times New Roman" w:cs="Times New Roman"/>
                <w:sz w:val="18"/>
              </w:rPr>
              <w:t>.02</w:t>
            </w:r>
            <w:r w:rsidR="00C55DE2" w:rsidRPr="00FD1DC0">
              <w:rPr>
                <w:rFonts w:ascii="Times New Roman" w:eastAsia="Times New Roman" w:hAnsi="Times New Roman" w:cs="Times New Roman"/>
                <w:sz w:val="18"/>
              </w:rPr>
              <w:t>44</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630A9B9B" w14:textId="207F66BD" w:rsidR="007C1253" w:rsidRPr="00FD1DC0" w:rsidRDefault="005B7DAF" w:rsidP="007C1253">
            <w:pPr>
              <w:spacing w:after="0" w:line="259" w:lineRule="auto"/>
              <w:ind w:left="288"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0.235</w:t>
            </w:r>
            <w:r w:rsidR="007C1253" w:rsidRPr="00FD1DC0">
              <w:rPr>
                <w:rFonts w:ascii="Times New Roman" w:eastAsia="Times New Roman" w:hAnsi="Times New Roman" w:cs="Times New Roman"/>
                <w:sz w:val="18"/>
              </w:rPr>
              <w:t xml:space="preserve">14 </w:t>
            </w:r>
          </w:p>
        </w:tc>
        <w:tc>
          <w:tcPr>
            <w:tcW w:w="799" w:type="dxa"/>
            <w:tcBorders>
              <w:top w:val="nil"/>
              <w:left w:val="nil"/>
              <w:bottom w:val="nil"/>
              <w:right w:val="nil"/>
            </w:tcBorders>
          </w:tcPr>
          <w:p w14:paraId="29007CDA" w14:textId="3C2B9D43" w:rsidR="007C1253" w:rsidRPr="00FD1DC0" w:rsidRDefault="00C05B25" w:rsidP="007C1253">
            <w:pPr>
              <w:spacing w:after="0" w:line="259" w:lineRule="auto"/>
              <w:ind w:left="0"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0.04</w:t>
            </w:r>
            <w:r w:rsidR="00C55DE2" w:rsidRPr="00FD1DC0">
              <w:rPr>
                <w:rFonts w:ascii="Times New Roman" w:eastAsia="Times New Roman" w:hAnsi="Times New Roman" w:cs="Times New Roman"/>
                <w:sz w:val="18"/>
              </w:rPr>
              <w:t>11</w:t>
            </w:r>
            <w:r w:rsidR="007C1253" w:rsidRPr="00FD1DC0">
              <w:rPr>
                <w:rFonts w:ascii="Times New Roman" w:eastAsia="Times New Roman" w:hAnsi="Times New Roman" w:cs="Times New Roman"/>
                <w:sz w:val="18"/>
              </w:rPr>
              <w:t xml:space="preserve"> </w:t>
            </w:r>
          </w:p>
        </w:tc>
      </w:tr>
      <w:tr w:rsidR="007C1253" w:rsidRPr="00FD1DC0" w14:paraId="3978B113" w14:textId="77777777" w:rsidTr="00373DFF">
        <w:trPr>
          <w:trHeight w:val="224"/>
        </w:trPr>
        <w:tc>
          <w:tcPr>
            <w:tcW w:w="2090" w:type="dxa"/>
            <w:tcBorders>
              <w:top w:val="nil"/>
              <w:left w:val="nil"/>
              <w:bottom w:val="nil"/>
              <w:right w:val="nil"/>
            </w:tcBorders>
          </w:tcPr>
          <w:p w14:paraId="7951BC13" w14:textId="7087EC77" w:rsidR="007C1253" w:rsidRPr="00FD1DC0" w:rsidRDefault="007C1253" w:rsidP="007C1253">
            <w:pPr>
              <w:spacing w:after="0" w:line="259" w:lineRule="auto"/>
              <w:ind w:left="214"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CIN</w:t>
            </w:r>
          </w:p>
        </w:tc>
        <w:tc>
          <w:tcPr>
            <w:tcW w:w="2628" w:type="dxa"/>
            <w:tcBorders>
              <w:top w:val="nil"/>
              <w:left w:val="nil"/>
              <w:bottom w:val="nil"/>
              <w:right w:val="nil"/>
            </w:tcBorders>
          </w:tcPr>
          <w:p w14:paraId="4FA91957" w14:textId="3178827B" w:rsidR="007C1253" w:rsidRPr="00FD1DC0" w:rsidRDefault="007C1253" w:rsidP="007C1253">
            <w:pPr>
              <w:tabs>
                <w:tab w:val="center" w:pos="723"/>
                <w:tab w:val="center" w:pos="2036"/>
              </w:tabs>
              <w:spacing w:after="0" w:line="259" w:lineRule="auto"/>
              <w:ind w:left="0" w:right="0" w:firstLine="0"/>
              <w:jc w:val="left"/>
              <w:rPr>
                <w:rFonts w:ascii="Calibri" w:eastAsia="Calibri" w:hAnsi="Calibri" w:cs="Calibri"/>
                <w:sz w:val="22"/>
                <w:lang w:val="es-BO"/>
              </w:rPr>
            </w:pPr>
            <w:r w:rsidRPr="00FD1DC0">
              <w:rPr>
                <w:rFonts w:ascii="Calibri" w:eastAsia="Calibri" w:hAnsi="Calibri" w:cs="Calibri"/>
                <w:sz w:val="22"/>
              </w:rPr>
              <w:tab/>
            </w:r>
            <w:r w:rsidRPr="00FD1DC0">
              <w:rPr>
                <w:rFonts w:ascii="Times New Roman" w:eastAsia="Times New Roman" w:hAnsi="Times New Roman" w:cs="Times New Roman"/>
                <w:sz w:val="18"/>
              </w:rPr>
              <w:t xml:space="preserve">   0.12487</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0.05</w:t>
            </w:r>
            <w:r w:rsidR="00C55DE2" w:rsidRPr="00FD1DC0">
              <w:rPr>
                <w:rFonts w:ascii="Times New Roman" w:eastAsia="Times New Roman" w:hAnsi="Times New Roman" w:cs="Times New Roman"/>
                <w:sz w:val="18"/>
              </w:rPr>
              <w:t>31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253E02F0" w14:textId="4A3A2D25" w:rsidR="007C1253" w:rsidRPr="00FD1DC0" w:rsidRDefault="005B7DAF" w:rsidP="007C1253">
            <w:pPr>
              <w:spacing w:after="0" w:line="259" w:lineRule="auto"/>
              <w:ind w:left="288"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0.412</w:t>
            </w:r>
            <w:r w:rsidR="007C1253" w:rsidRPr="00FD1DC0">
              <w:rPr>
                <w:rFonts w:ascii="Times New Roman" w:eastAsia="Times New Roman" w:hAnsi="Times New Roman" w:cs="Times New Roman"/>
                <w:sz w:val="18"/>
              </w:rPr>
              <w:t xml:space="preserve">14 </w:t>
            </w:r>
          </w:p>
        </w:tc>
        <w:tc>
          <w:tcPr>
            <w:tcW w:w="799" w:type="dxa"/>
            <w:tcBorders>
              <w:top w:val="nil"/>
              <w:left w:val="nil"/>
              <w:bottom w:val="nil"/>
              <w:right w:val="nil"/>
            </w:tcBorders>
          </w:tcPr>
          <w:p w14:paraId="57036CFB" w14:textId="7BA01841" w:rsidR="007C1253" w:rsidRPr="00FD1DC0" w:rsidRDefault="00C05B25" w:rsidP="007C1253">
            <w:pPr>
              <w:spacing w:after="0" w:line="259" w:lineRule="auto"/>
              <w:ind w:left="0" w:right="0" w:firstLine="0"/>
              <w:jc w:val="left"/>
              <w:rPr>
                <w:rFonts w:ascii="Times New Roman" w:eastAsia="Times New Roman" w:hAnsi="Times New Roman" w:cs="Times New Roman"/>
                <w:sz w:val="18"/>
                <w:lang w:val="es-BO"/>
              </w:rPr>
            </w:pPr>
            <w:r w:rsidRPr="00FD1DC0">
              <w:rPr>
                <w:rFonts w:ascii="Times New Roman" w:eastAsia="Times New Roman" w:hAnsi="Times New Roman" w:cs="Times New Roman"/>
                <w:sz w:val="18"/>
              </w:rPr>
              <w:t>0.06</w:t>
            </w:r>
            <w:r w:rsidR="00C55DE2" w:rsidRPr="00FD1DC0">
              <w:rPr>
                <w:rFonts w:ascii="Times New Roman" w:eastAsia="Times New Roman" w:hAnsi="Times New Roman" w:cs="Times New Roman"/>
                <w:sz w:val="18"/>
              </w:rPr>
              <w:t>47</w:t>
            </w:r>
            <w:r w:rsidR="007C1253" w:rsidRPr="00FD1DC0">
              <w:rPr>
                <w:rFonts w:ascii="Times New Roman" w:eastAsia="Times New Roman" w:hAnsi="Times New Roman" w:cs="Times New Roman"/>
                <w:sz w:val="18"/>
              </w:rPr>
              <w:t xml:space="preserve"> </w:t>
            </w:r>
          </w:p>
        </w:tc>
      </w:tr>
      <w:tr w:rsidR="00373DFF" w:rsidRPr="00FD1DC0" w14:paraId="5317A6E3" w14:textId="77777777" w:rsidTr="00373DFF">
        <w:trPr>
          <w:trHeight w:val="453"/>
        </w:trPr>
        <w:tc>
          <w:tcPr>
            <w:tcW w:w="2090" w:type="dxa"/>
            <w:tcBorders>
              <w:top w:val="nil"/>
              <w:left w:val="nil"/>
              <w:bottom w:val="nil"/>
              <w:right w:val="nil"/>
            </w:tcBorders>
          </w:tcPr>
          <w:p w14:paraId="1A5F7A0F" w14:textId="77777777" w:rsidR="00373DFF" w:rsidRPr="00FD1DC0" w:rsidRDefault="00373DFF" w:rsidP="00373DFF">
            <w:pPr>
              <w:spacing w:after="0" w:line="259" w:lineRule="auto"/>
              <w:ind w:left="0" w:right="150" w:firstLine="0"/>
              <w:jc w:val="center"/>
              <w:rPr>
                <w:lang w:val="es-BO"/>
              </w:rPr>
            </w:pPr>
            <w:r w:rsidRPr="00FD1DC0">
              <w:rPr>
                <w:rFonts w:ascii="Times New Roman" w:eastAsia="Times New Roman" w:hAnsi="Times New Roman" w:cs="Times New Roman"/>
                <w:sz w:val="18"/>
                <w:lang w:val="es-BO"/>
              </w:rPr>
              <w:t xml:space="preserve">LOG(SIGMA) </w:t>
            </w:r>
          </w:p>
        </w:tc>
        <w:tc>
          <w:tcPr>
            <w:tcW w:w="2628" w:type="dxa"/>
            <w:tcBorders>
              <w:top w:val="nil"/>
              <w:left w:val="nil"/>
              <w:bottom w:val="nil"/>
              <w:right w:val="nil"/>
            </w:tcBorders>
          </w:tcPr>
          <w:p w14:paraId="5BDA551C" w14:textId="5C88F7EC" w:rsidR="00373DFF" w:rsidRPr="00FD1DC0" w:rsidRDefault="00373DFF" w:rsidP="00373DFF">
            <w:pPr>
              <w:tabs>
                <w:tab w:val="center" w:pos="722"/>
                <w:tab w:val="center" w:pos="2036"/>
              </w:tabs>
              <w:spacing w:after="10" w:line="259" w:lineRule="auto"/>
              <w:ind w:left="0" w:right="0" w:firstLine="0"/>
              <w:jc w:val="left"/>
            </w:pPr>
            <w:r w:rsidRPr="00FD1DC0">
              <w:rPr>
                <w:rFonts w:ascii="Calibri" w:eastAsia="Calibri" w:hAnsi="Calibri" w:cs="Calibri"/>
                <w:sz w:val="22"/>
                <w:lang w:val="es-BO"/>
              </w:rPr>
              <w:tab/>
              <w:t xml:space="preserve"> </w:t>
            </w:r>
            <w:r w:rsidR="00C55DE2" w:rsidRPr="00FD1DC0">
              <w:rPr>
                <w:rFonts w:ascii="Times New Roman" w:eastAsia="Times New Roman" w:hAnsi="Times New Roman" w:cs="Times New Roman"/>
                <w:sz w:val="18"/>
              </w:rPr>
              <w:t>-2.46</w:t>
            </w:r>
            <w:r w:rsidR="00576A53" w:rsidRPr="00FD1DC0">
              <w:rPr>
                <w:rFonts w:ascii="Times New Roman" w:eastAsia="Times New Roman" w:hAnsi="Times New Roman" w:cs="Times New Roman"/>
                <w:sz w:val="18"/>
              </w:rPr>
              <w:t>2</w:t>
            </w:r>
            <w:r w:rsidR="007C1253" w:rsidRPr="00FD1DC0">
              <w:rPr>
                <w:rFonts w:ascii="Times New Roman" w:eastAsia="Times New Roman" w:hAnsi="Times New Roman" w:cs="Times New Roman"/>
                <w:sz w:val="18"/>
              </w:rPr>
              <w:t>87</w:t>
            </w:r>
            <w:r w:rsidR="005B7DAF" w:rsidRPr="00FD1DC0">
              <w:rPr>
                <w:rFonts w:ascii="Times New Roman" w:eastAsia="Times New Roman" w:hAnsi="Times New Roman" w:cs="Times New Roman"/>
                <w:sz w:val="18"/>
              </w:rPr>
              <w:t xml:space="preserve"> </w:t>
            </w:r>
            <w:r w:rsidR="005B7DAF" w:rsidRPr="00FD1DC0">
              <w:rPr>
                <w:rFonts w:ascii="Times New Roman" w:eastAsia="Times New Roman" w:hAnsi="Times New Roman" w:cs="Times New Roman"/>
                <w:sz w:val="18"/>
              </w:rPr>
              <w:tab/>
              <w:t>0.0</w:t>
            </w:r>
            <w:r w:rsidR="00C05B25" w:rsidRPr="00FD1DC0">
              <w:rPr>
                <w:rFonts w:ascii="Times New Roman" w:eastAsia="Times New Roman" w:hAnsi="Times New Roman" w:cs="Times New Roman"/>
                <w:sz w:val="18"/>
              </w:rPr>
              <w:t>3</w:t>
            </w:r>
            <w:r w:rsidR="00C55DE2" w:rsidRPr="00FD1DC0">
              <w:rPr>
                <w:rFonts w:ascii="Times New Roman" w:eastAsia="Times New Roman" w:hAnsi="Times New Roman" w:cs="Times New Roman"/>
                <w:sz w:val="18"/>
              </w:rPr>
              <w:t>81</w:t>
            </w:r>
            <w:r w:rsidRPr="00FD1DC0">
              <w:rPr>
                <w:rFonts w:ascii="Times New Roman" w:eastAsia="Times New Roman" w:hAnsi="Times New Roman" w:cs="Times New Roman"/>
                <w:sz w:val="18"/>
              </w:rPr>
              <w:t xml:space="preserve"> </w:t>
            </w:r>
          </w:p>
          <w:p w14:paraId="61FFEDD5" w14:textId="77777777" w:rsidR="00373DFF" w:rsidRPr="00FD1DC0" w:rsidRDefault="00373DFF" w:rsidP="00373DFF">
            <w:pPr>
              <w:spacing w:after="0" w:line="259" w:lineRule="auto"/>
              <w:ind w:left="105" w:right="0" w:firstLine="0"/>
              <w:jc w:val="center"/>
            </w:pPr>
            <w:r w:rsidRPr="00FD1DC0">
              <w:rPr>
                <w:rFonts w:ascii="Times New Roman" w:eastAsia="Times New Roman" w:hAnsi="Times New Roman" w:cs="Times New Roman"/>
                <w:b/>
                <w:sz w:val="18"/>
              </w:rPr>
              <w:t xml:space="preserve">Factores Comunes </w:t>
            </w:r>
          </w:p>
        </w:tc>
        <w:tc>
          <w:tcPr>
            <w:tcW w:w="1511" w:type="dxa"/>
            <w:tcBorders>
              <w:top w:val="nil"/>
              <w:left w:val="nil"/>
              <w:bottom w:val="nil"/>
              <w:right w:val="nil"/>
            </w:tcBorders>
          </w:tcPr>
          <w:p w14:paraId="3253FC57" w14:textId="231F4355" w:rsidR="00373DFF" w:rsidRPr="00FD1DC0" w:rsidRDefault="008E0187" w:rsidP="00373DFF">
            <w:pPr>
              <w:spacing w:after="0" w:line="259" w:lineRule="auto"/>
              <w:ind w:left="259" w:right="0" w:firstLine="0"/>
              <w:jc w:val="left"/>
            </w:pPr>
            <w:r w:rsidRPr="00FD1DC0">
              <w:rPr>
                <w:rFonts w:ascii="Times New Roman" w:eastAsia="Times New Roman" w:hAnsi="Times New Roman" w:cs="Times New Roman"/>
                <w:sz w:val="18"/>
              </w:rPr>
              <w:t>-6.423</w:t>
            </w:r>
            <w:r w:rsidR="00373DFF" w:rsidRPr="00FD1DC0">
              <w:rPr>
                <w:rFonts w:ascii="Times New Roman" w:eastAsia="Times New Roman" w:hAnsi="Times New Roman" w:cs="Times New Roman"/>
                <w:sz w:val="18"/>
              </w:rPr>
              <w:t xml:space="preserve">92 </w:t>
            </w:r>
          </w:p>
        </w:tc>
        <w:tc>
          <w:tcPr>
            <w:tcW w:w="799" w:type="dxa"/>
            <w:tcBorders>
              <w:top w:val="nil"/>
              <w:left w:val="nil"/>
              <w:bottom w:val="nil"/>
              <w:right w:val="nil"/>
            </w:tcBorders>
          </w:tcPr>
          <w:p w14:paraId="5B046806" w14:textId="065768AB" w:rsidR="00373DFF" w:rsidRPr="00FD1DC0" w:rsidRDefault="00C05B25" w:rsidP="00373DFF">
            <w:pPr>
              <w:spacing w:after="0" w:line="259" w:lineRule="auto"/>
              <w:ind w:left="0" w:right="0" w:firstLine="0"/>
              <w:jc w:val="left"/>
            </w:pPr>
            <w:r w:rsidRPr="00FD1DC0">
              <w:rPr>
                <w:rFonts w:ascii="Times New Roman" w:eastAsia="Times New Roman" w:hAnsi="Times New Roman" w:cs="Times New Roman"/>
                <w:sz w:val="18"/>
              </w:rPr>
              <w:t>0.07</w:t>
            </w:r>
            <w:r w:rsidR="00C55DE2" w:rsidRPr="00FD1DC0">
              <w:rPr>
                <w:rFonts w:ascii="Times New Roman" w:eastAsia="Times New Roman" w:hAnsi="Times New Roman" w:cs="Times New Roman"/>
                <w:sz w:val="18"/>
              </w:rPr>
              <w:t>21</w:t>
            </w:r>
            <w:r w:rsidR="00373DFF" w:rsidRPr="00FD1DC0">
              <w:rPr>
                <w:rFonts w:ascii="Times New Roman" w:eastAsia="Times New Roman" w:hAnsi="Times New Roman" w:cs="Times New Roman"/>
                <w:sz w:val="18"/>
              </w:rPr>
              <w:t xml:space="preserve"> </w:t>
            </w:r>
          </w:p>
        </w:tc>
      </w:tr>
      <w:tr w:rsidR="00373DFF" w:rsidRPr="00FD1DC0" w14:paraId="4F0246B3" w14:textId="77777777" w:rsidTr="00373DFF">
        <w:trPr>
          <w:trHeight w:val="224"/>
        </w:trPr>
        <w:tc>
          <w:tcPr>
            <w:tcW w:w="2090" w:type="dxa"/>
            <w:tcBorders>
              <w:top w:val="nil"/>
              <w:left w:val="nil"/>
              <w:bottom w:val="nil"/>
              <w:right w:val="nil"/>
            </w:tcBorders>
          </w:tcPr>
          <w:p w14:paraId="4D6A4435" w14:textId="77777777" w:rsidR="00373DFF" w:rsidRPr="00FD1DC0" w:rsidRDefault="00373DFF" w:rsidP="00373DFF">
            <w:pPr>
              <w:spacing w:after="0" w:line="259" w:lineRule="auto"/>
              <w:ind w:left="0" w:right="142" w:firstLine="0"/>
              <w:jc w:val="center"/>
            </w:pPr>
            <w:r w:rsidRPr="00FD1DC0">
              <w:rPr>
                <w:rFonts w:ascii="Times New Roman" w:eastAsia="Times New Roman" w:hAnsi="Times New Roman" w:cs="Times New Roman"/>
                <w:sz w:val="18"/>
              </w:rPr>
              <w:t xml:space="preserve">Volatilidad (-1) </w:t>
            </w:r>
          </w:p>
        </w:tc>
        <w:tc>
          <w:tcPr>
            <w:tcW w:w="2628" w:type="dxa"/>
            <w:tcBorders>
              <w:top w:val="nil"/>
              <w:left w:val="nil"/>
              <w:bottom w:val="nil"/>
              <w:right w:val="nil"/>
            </w:tcBorders>
          </w:tcPr>
          <w:p w14:paraId="00C774C2" w14:textId="0B3C6354"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0.65234</w:t>
            </w:r>
            <w:r w:rsidR="00C55DE2" w:rsidRPr="00FD1DC0">
              <w:rPr>
                <w:rFonts w:ascii="Times New Roman" w:eastAsia="Times New Roman" w:hAnsi="Times New Roman" w:cs="Times New Roman"/>
                <w:sz w:val="18"/>
              </w:rPr>
              <w:t xml:space="preserve"> </w:t>
            </w:r>
            <w:r w:rsidR="00C55DE2" w:rsidRPr="00FD1DC0">
              <w:rPr>
                <w:rFonts w:ascii="Times New Roman" w:eastAsia="Times New Roman" w:hAnsi="Times New Roman" w:cs="Times New Roman"/>
                <w:sz w:val="18"/>
              </w:rPr>
              <w:tab/>
              <w:t>0.002</w:t>
            </w:r>
            <w:r w:rsidRPr="00FD1DC0">
              <w:rPr>
                <w:rFonts w:ascii="Times New Roman" w:eastAsia="Times New Roman" w:hAnsi="Times New Roman" w:cs="Times New Roman"/>
                <w:sz w:val="18"/>
              </w:rPr>
              <w:t xml:space="preserve">0 </w:t>
            </w:r>
          </w:p>
        </w:tc>
        <w:tc>
          <w:tcPr>
            <w:tcW w:w="1511" w:type="dxa"/>
            <w:tcBorders>
              <w:top w:val="nil"/>
              <w:left w:val="nil"/>
              <w:bottom w:val="nil"/>
              <w:right w:val="nil"/>
            </w:tcBorders>
          </w:tcPr>
          <w:p w14:paraId="7ED6DF3C" w14:textId="16A792AF" w:rsidR="00373DFF" w:rsidRPr="00FD1DC0" w:rsidRDefault="00C55DE2" w:rsidP="00373DFF">
            <w:pPr>
              <w:spacing w:after="0" w:line="259" w:lineRule="auto"/>
              <w:ind w:left="288" w:right="0" w:firstLine="0"/>
              <w:jc w:val="left"/>
            </w:pPr>
            <w:r w:rsidRPr="00FD1DC0">
              <w:rPr>
                <w:rFonts w:ascii="Times New Roman" w:eastAsia="Times New Roman" w:hAnsi="Times New Roman" w:cs="Times New Roman"/>
                <w:sz w:val="18"/>
              </w:rPr>
              <w:t>0.81</w:t>
            </w:r>
            <w:r w:rsidR="00373DFF" w:rsidRPr="00FD1DC0">
              <w:rPr>
                <w:rFonts w:ascii="Times New Roman" w:eastAsia="Times New Roman" w:hAnsi="Times New Roman" w:cs="Times New Roman"/>
                <w:sz w:val="18"/>
              </w:rPr>
              <w:t xml:space="preserve">472 </w:t>
            </w:r>
          </w:p>
        </w:tc>
        <w:tc>
          <w:tcPr>
            <w:tcW w:w="799" w:type="dxa"/>
            <w:tcBorders>
              <w:top w:val="nil"/>
              <w:left w:val="nil"/>
              <w:bottom w:val="nil"/>
              <w:right w:val="nil"/>
            </w:tcBorders>
          </w:tcPr>
          <w:p w14:paraId="143EF9CF" w14:textId="0D03AEBF"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0.012</w:t>
            </w:r>
            <w:r w:rsidR="00C57566" w:rsidRPr="00FD1DC0">
              <w:rPr>
                <w:rFonts w:ascii="Times New Roman" w:eastAsia="Times New Roman" w:hAnsi="Times New Roman" w:cs="Times New Roman"/>
                <w:sz w:val="18"/>
              </w:rPr>
              <w:t>2</w:t>
            </w:r>
            <w:r w:rsidR="00373DFF" w:rsidRPr="00FD1DC0">
              <w:rPr>
                <w:rFonts w:ascii="Times New Roman" w:eastAsia="Times New Roman" w:hAnsi="Times New Roman" w:cs="Times New Roman"/>
                <w:sz w:val="18"/>
              </w:rPr>
              <w:t xml:space="preserve"> </w:t>
            </w:r>
          </w:p>
        </w:tc>
      </w:tr>
      <w:tr w:rsidR="00373DFF" w:rsidRPr="00FD1DC0" w14:paraId="09EC94EB" w14:textId="77777777" w:rsidTr="00373DFF">
        <w:trPr>
          <w:trHeight w:val="224"/>
        </w:trPr>
        <w:tc>
          <w:tcPr>
            <w:tcW w:w="2090" w:type="dxa"/>
            <w:tcBorders>
              <w:top w:val="nil"/>
              <w:left w:val="nil"/>
              <w:bottom w:val="nil"/>
              <w:right w:val="nil"/>
            </w:tcBorders>
          </w:tcPr>
          <w:p w14:paraId="255F2C54" w14:textId="77777777" w:rsidR="00373DFF" w:rsidRPr="00FD1DC0" w:rsidRDefault="00373DFF" w:rsidP="00373DFF">
            <w:pPr>
              <w:spacing w:after="0" w:line="259" w:lineRule="auto"/>
              <w:ind w:left="0" w:right="142" w:firstLine="0"/>
              <w:jc w:val="center"/>
            </w:pPr>
            <w:r w:rsidRPr="00FD1DC0">
              <w:rPr>
                <w:rFonts w:ascii="Times New Roman" w:eastAsia="Times New Roman" w:hAnsi="Times New Roman" w:cs="Times New Roman"/>
                <w:sz w:val="18"/>
              </w:rPr>
              <w:t xml:space="preserve">Volatilidad (-2) </w:t>
            </w:r>
          </w:p>
        </w:tc>
        <w:tc>
          <w:tcPr>
            <w:tcW w:w="2628" w:type="dxa"/>
            <w:tcBorders>
              <w:top w:val="nil"/>
              <w:left w:val="nil"/>
              <w:bottom w:val="nil"/>
              <w:right w:val="nil"/>
            </w:tcBorders>
          </w:tcPr>
          <w:p w14:paraId="4F344A30" w14:textId="69B5F7F0" w:rsidR="00373DFF" w:rsidRPr="00FD1DC0" w:rsidRDefault="00373DFF" w:rsidP="007C1253">
            <w:pPr>
              <w:tabs>
                <w:tab w:val="center" w:pos="2036"/>
              </w:tabs>
              <w:spacing w:after="0" w:line="259" w:lineRule="auto"/>
              <w:ind w:left="0" w:right="0" w:firstLine="0"/>
              <w:jc w:val="left"/>
              <w:rPr>
                <w:lang w:val="es-BO"/>
              </w:rPr>
            </w:pPr>
            <w:r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rPr>
              <w:t xml:space="preserve">       </w:t>
            </w:r>
            <w:r w:rsidR="007C1253" w:rsidRPr="00FD1DC0">
              <w:rPr>
                <w:rFonts w:ascii="Times New Roman" w:eastAsia="Times New Roman" w:hAnsi="Times New Roman" w:cs="Times New Roman"/>
                <w:sz w:val="18"/>
                <w:lang w:val="es-BO"/>
              </w:rPr>
              <w:t>0.13245</w:t>
            </w:r>
            <w:r w:rsidR="00C55DE2" w:rsidRPr="00FD1DC0">
              <w:rPr>
                <w:rFonts w:ascii="Times New Roman" w:eastAsia="Times New Roman" w:hAnsi="Times New Roman" w:cs="Times New Roman"/>
                <w:sz w:val="18"/>
                <w:lang w:val="es-BO"/>
              </w:rPr>
              <w:t xml:space="preserve"> </w:t>
            </w:r>
            <w:r w:rsidR="00C55DE2" w:rsidRPr="00FD1DC0">
              <w:rPr>
                <w:rFonts w:ascii="Times New Roman" w:eastAsia="Times New Roman" w:hAnsi="Times New Roman" w:cs="Times New Roman"/>
                <w:sz w:val="18"/>
                <w:lang w:val="es-BO"/>
              </w:rPr>
              <w:tab/>
              <w:t>0.00</w:t>
            </w:r>
            <w:r w:rsidRPr="00FD1DC0">
              <w:rPr>
                <w:rFonts w:ascii="Times New Roman" w:eastAsia="Times New Roman" w:hAnsi="Times New Roman" w:cs="Times New Roman"/>
                <w:sz w:val="18"/>
                <w:lang w:val="es-BO"/>
              </w:rPr>
              <w:t xml:space="preserve">81 </w:t>
            </w:r>
          </w:p>
        </w:tc>
        <w:tc>
          <w:tcPr>
            <w:tcW w:w="1511" w:type="dxa"/>
            <w:tcBorders>
              <w:top w:val="nil"/>
              <w:left w:val="nil"/>
              <w:bottom w:val="nil"/>
              <w:right w:val="nil"/>
            </w:tcBorders>
          </w:tcPr>
          <w:p w14:paraId="240EEBB4" w14:textId="77777777" w:rsidR="00373DFF" w:rsidRPr="00FD1DC0" w:rsidRDefault="00373DFF" w:rsidP="00373DFF">
            <w:pPr>
              <w:spacing w:after="0" w:line="259" w:lineRule="auto"/>
              <w:ind w:left="259" w:right="0" w:firstLine="0"/>
              <w:jc w:val="left"/>
              <w:rPr>
                <w:lang w:val="es-BO"/>
              </w:rPr>
            </w:pPr>
            <w:r w:rsidRPr="00FD1DC0">
              <w:rPr>
                <w:rFonts w:ascii="Times New Roman" w:eastAsia="Times New Roman" w:hAnsi="Times New Roman" w:cs="Times New Roman"/>
                <w:sz w:val="18"/>
                <w:lang w:val="es-BO"/>
              </w:rPr>
              <w:t xml:space="preserve">-0.02032 </w:t>
            </w:r>
          </w:p>
        </w:tc>
        <w:tc>
          <w:tcPr>
            <w:tcW w:w="799" w:type="dxa"/>
            <w:tcBorders>
              <w:top w:val="nil"/>
              <w:left w:val="nil"/>
              <w:bottom w:val="nil"/>
              <w:right w:val="nil"/>
            </w:tcBorders>
          </w:tcPr>
          <w:p w14:paraId="6B75312E" w14:textId="04AA7578" w:rsidR="00373DFF" w:rsidRPr="00FD1DC0" w:rsidRDefault="00C55DE2" w:rsidP="00373DFF">
            <w:pPr>
              <w:spacing w:after="0" w:line="259" w:lineRule="auto"/>
              <w:ind w:left="0" w:right="0" w:firstLine="0"/>
              <w:jc w:val="left"/>
              <w:rPr>
                <w:lang w:val="es-BO"/>
              </w:rPr>
            </w:pPr>
            <w:r w:rsidRPr="00FD1DC0">
              <w:rPr>
                <w:rFonts w:ascii="Times New Roman" w:eastAsia="Times New Roman" w:hAnsi="Times New Roman" w:cs="Times New Roman"/>
                <w:sz w:val="18"/>
                <w:lang w:val="es-BO"/>
              </w:rPr>
              <w:t>0.0072</w:t>
            </w:r>
            <w:r w:rsidR="00373DFF" w:rsidRPr="00FD1DC0">
              <w:rPr>
                <w:rFonts w:ascii="Times New Roman" w:eastAsia="Times New Roman" w:hAnsi="Times New Roman" w:cs="Times New Roman"/>
                <w:sz w:val="18"/>
                <w:lang w:val="es-BO"/>
              </w:rPr>
              <w:t xml:space="preserve"> </w:t>
            </w:r>
          </w:p>
        </w:tc>
      </w:tr>
      <w:tr w:rsidR="00373DFF" w:rsidRPr="00FD1DC0" w14:paraId="449C3DB7" w14:textId="77777777" w:rsidTr="00373DFF">
        <w:trPr>
          <w:trHeight w:val="224"/>
        </w:trPr>
        <w:tc>
          <w:tcPr>
            <w:tcW w:w="2090" w:type="dxa"/>
            <w:tcBorders>
              <w:top w:val="nil"/>
              <w:left w:val="nil"/>
              <w:bottom w:val="nil"/>
              <w:right w:val="nil"/>
            </w:tcBorders>
          </w:tcPr>
          <w:p w14:paraId="5419C1BA" w14:textId="77777777" w:rsidR="00373DFF" w:rsidRPr="00FD1DC0" w:rsidRDefault="00373DFF" w:rsidP="00373DFF">
            <w:pPr>
              <w:spacing w:after="0" w:line="259" w:lineRule="auto"/>
              <w:ind w:left="0" w:right="147" w:firstLine="0"/>
              <w:jc w:val="center"/>
              <w:rPr>
                <w:lang w:val="es-BO"/>
              </w:rPr>
            </w:pPr>
            <w:r w:rsidRPr="00FD1DC0">
              <w:rPr>
                <w:rFonts w:ascii="Times New Roman" w:eastAsia="Times New Roman" w:hAnsi="Times New Roman" w:cs="Times New Roman"/>
                <w:sz w:val="18"/>
                <w:lang w:val="es-BO"/>
              </w:rPr>
              <w:t xml:space="preserve">Tendencia </w:t>
            </w:r>
          </w:p>
        </w:tc>
        <w:tc>
          <w:tcPr>
            <w:tcW w:w="2628" w:type="dxa"/>
            <w:tcBorders>
              <w:top w:val="nil"/>
              <w:left w:val="nil"/>
              <w:bottom w:val="nil"/>
              <w:right w:val="nil"/>
            </w:tcBorders>
          </w:tcPr>
          <w:p w14:paraId="7B29EBE9" w14:textId="0AADA012" w:rsidR="00373DFF" w:rsidRPr="00FD1DC0" w:rsidRDefault="00373DFF" w:rsidP="00373DFF">
            <w:pPr>
              <w:tabs>
                <w:tab w:val="center" w:pos="722"/>
                <w:tab w:val="center" w:pos="2036"/>
              </w:tabs>
              <w:spacing w:after="0" w:line="259" w:lineRule="auto"/>
              <w:ind w:left="0" w:right="0" w:firstLine="0"/>
              <w:jc w:val="left"/>
              <w:rPr>
                <w:lang w:val="es-BO"/>
              </w:rPr>
            </w:pPr>
            <w:r w:rsidRPr="00FD1DC0">
              <w:rPr>
                <w:rFonts w:ascii="Calibri" w:eastAsia="Calibri" w:hAnsi="Calibri" w:cs="Calibri"/>
                <w:sz w:val="22"/>
                <w:lang w:val="es-BO"/>
              </w:rPr>
              <w:tab/>
            </w:r>
            <w:r w:rsidR="00576A53" w:rsidRPr="00FD1DC0">
              <w:rPr>
                <w:rFonts w:ascii="Times New Roman" w:eastAsia="Times New Roman" w:hAnsi="Times New Roman" w:cs="Times New Roman"/>
                <w:sz w:val="18"/>
                <w:lang w:val="es-BO"/>
              </w:rPr>
              <w:t xml:space="preserve"> </w:t>
            </w:r>
            <w:r w:rsidR="007C1253" w:rsidRPr="00FD1DC0">
              <w:rPr>
                <w:rFonts w:ascii="Times New Roman" w:eastAsia="Times New Roman" w:hAnsi="Times New Roman" w:cs="Times New Roman"/>
                <w:sz w:val="18"/>
                <w:lang w:val="es-BO"/>
              </w:rPr>
              <w:t>-3.76</w:t>
            </w:r>
            <w:r w:rsidR="00576A53" w:rsidRPr="00FD1DC0">
              <w:rPr>
                <w:rFonts w:ascii="Times New Roman" w:eastAsia="Times New Roman" w:hAnsi="Times New Roman" w:cs="Times New Roman"/>
                <w:sz w:val="18"/>
                <w:lang w:val="es-BO"/>
              </w:rPr>
              <w:t>e-03</w:t>
            </w:r>
            <w:r w:rsidR="00C55DE2" w:rsidRPr="00FD1DC0">
              <w:rPr>
                <w:rFonts w:ascii="Times New Roman" w:eastAsia="Times New Roman" w:hAnsi="Times New Roman" w:cs="Times New Roman"/>
                <w:sz w:val="18"/>
                <w:lang w:val="es-BO"/>
              </w:rPr>
              <w:t xml:space="preserve"> </w:t>
            </w:r>
            <w:r w:rsidR="00C55DE2" w:rsidRPr="00FD1DC0">
              <w:rPr>
                <w:rFonts w:ascii="Times New Roman" w:eastAsia="Times New Roman" w:hAnsi="Times New Roman" w:cs="Times New Roman"/>
                <w:sz w:val="18"/>
                <w:lang w:val="es-BO"/>
              </w:rPr>
              <w:tab/>
              <w:t>0.01</w:t>
            </w:r>
            <w:r w:rsidRPr="00FD1DC0">
              <w:rPr>
                <w:rFonts w:ascii="Times New Roman" w:eastAsia="Times New Roman" w:hAnsi="Times New Roman" w:cs="Times New Roman"/>
                <w:sz w:val="18"/>
                <w:lang w:val="es-BO"/>
              </w:rPr>
              <w:t xml:space="preserve">62 </w:t>
            </w:r>
          </w:p>
        </w:tc>
        <w:tc>
          <w:tcPr>
            <w:tcW w:w="1511" w:type="dxa"/>
            <w:tcBorders>
              <w:top w:val="nil"/>
              <w:left w:val="nil"/>
              <w:bottom w:val="nil"/>
              <w:right w:val="nil"/>
            </w:tcBorders>
          </w:tcPr>
          <w:p w14:paraId="124C46B4" w14:textId="78E886DA" w:rsidR="00373DFF" w:rsidRPr="00FD1DC0" w:rsidRDefault="007C1253" w:rsidP="00373DFF">
            <w:pPr>
              <w:spacing w:after="0" w:line="259" w:lineRule="auto"/>
              <w:ind w:left="144" w:right="0" w:firstLine="0"/>
              <w:jc w:val="left"/>
              <w:rPr>
                <w:lang w:val="es-BO"/>
              </w:rPr>
            </w:pPr>
            <w:r w:rsidRPr="00FD1DC0">
              <w:rPr>
                <w:rFonts w:ascii="Times New Roman" w:eastAsia="Times New Roman" w:hAnsi="Times New Roman" w:cs="Times New Roman"/>
                <w:sz w:val="18"/>
                <w:lang w:val="es-BO"/>
              </w:rPr>
              <w:t xml:space="preserve">  -2.87e-03</w:t>
            </w:r>
            <w:r w:rsidR="00373DFF" w:rsidRPr="00FD1DC0">
              <w:rPr>
                <w:rFonts w:ascii="Times New Roman" w:eastAsia="Times New Roman" w:hAnsi="Times New Roman" w:cs="Times New Roman"/>
                <w:sz w:val="18"/>
                <w:lang w:val="es-BO"/>
              </w:rPr>
              <w:t xml:space="preserve"> </w:t>
            </w:r>
          </w:p>
        </w:tc>
        <w:tc>
          <w:tcPr>
            <w:tcW w:w="799" w:type="dxa"/>
            <w:tcBorders>
              <w:top w:val="nil"/>
              <w:left w:val="nil"/>
              <w:bottom w:val="nil"/>
              <w:right w:val="nil"/>
            </w:tcBorders>
          </w:tcPr>
          <w:p w14:paraId="13412103" w14:textId="6B1A086B" w:rsidR="00373DFF" w:rsidRPr="00FD1DC0" w:rsidRDefault="00C55DE2" w:rsidP="00373DFF">
            <w:pPr>
              <w:spacing w:after="0" w:line="259" w:lineRule="auto"/>
              <w:ind w:left="0" w:right="0" w:firstLine="0"/>
              <w:jc w:val="left"/>
              <w:rPr>
                <w:lang w:val="es-BO"/>
              </w:rPr>
            </w:pPr>
            <w:r w:rsidRPr="00FD1DC0">
              <w:rPr>
                <w:rFonts w:ascii="Times New Roman" w:eastAsia="Times New Roman" w:hAnsi="Times New Roman" w:cs="Times New Roman"/>
                <w:sz w:val="18"/>
                <w:lang w:val="es-BO"/>
              </w:rPr>
              <w:t>0.003</w:t>
            </w:r>
            <w:r w:rsidR="00373DFF" w:rsidRPr="00FD1DC0">
              <w:rPr>
                <w:rFonts w:ascii="Times New Roman" w:eastAsia="Times New Roman" w:hAnsi="Times New Roman" w:cs="Times New Roman"/>
                <w:sz w:val="18"/>
                <w:lang w:val="es-BO"/>
              </w:rPr>
              <w:t xml:space="preserve">4 </w:t>
            </w:r>
          </w:p>
        </w:tc>
      </w:tr>
      <w:tr w:rsidR="00373DFF" w:rsidRPr="00FD1DC0" w14:paraId="3CFE9497" w14:textId="77777777" w:rsidTr="00373DFF">
        <w:trPr>
          <w:trHeight w:val="226"/>
        </w:trPr>
        <w:tc>
          <w:tcPr>
            <w:tcW w:w="2090" w:type="dxa"/>
            <w:tcBorders>
              <w:top w:val="nil"/>
              <w:left w:val="nil"/>
              <w:bottom w:val="nil"/>
              <w:right w:val="nil"/>
            </w:tcBorders>
          </w:tcPr>
          <w:p w14:paraId="38F87637" w14:textId="204FF955" w:rsidR="00373DFF" w:rsidRPr="00FD1DC0" w:rsidRDefault="00680388" w:rsidP="00373DFF">
            <w:pPr>
              <w:spacing w:after="0" w:line="259" w:lineRule="auto"/>
              <w:ind w:left="197" w:right="0" w:firstLine="0"/>
              <w:jc w:val="left"/>
              <w:rPr>
                <w:lang w:val="es-BO"/>
              </w:rPr>
            </w:pPr>
            <w:r w:rsidRPr="00FD1DC0">
              <w:rPr>
                <w:rFonts w:ascii="Times New Roman" w:eastAsia="Times New Roman" w:hAnsi="Times New Roman" w:cs="Times New Roman"/>
                <w:sz w:val="18"/>
                <w:lang w:val="es-BO"/>
              </w:rPr>
              <w:t>D</w:t>
            </w:r>
            <w:r w:rsidR="00D73A06" w:rsidRPr="00FD1DC0">
              <w:rPr>
                <w:rFonts w:ascii="Times New Roman" w:eastAsia="Times New Roman" w:hAnsi="Times New Roman" w:cs="Times New Roman"/>
                <w:sz w:val="18"/>
                <w:lang w:val="es-BO"/>
              </w:rPr>
              <w:t xml:space="preserve">esestacionalidad </w:t>
            </w:r>
            <w:r w:rsidR="00373DFF" w:rsidRPr="00FD1DC0">
              <w:rPr>
                <w:rFonts w:ascii="Times New Roman" w:eastAsia="Times New Roman" w:hAnsi="Times New Roman" w:cs="Times New Roman"/>
                <w:sz w:val="18"/>
                <w:lang w:val="es-BO"/>
              </w:rPr>
              <w:t xml:space="preserve">centrada </w:t>
            </w:r>
          </w:p>
        </w:tc>
        <w:tc>
          <w:tcPr>
            <w:tcW w:w="2628" w:type="dxa"/>
            <w:tcBorders>
              <w:top w:val="nil"/>
              <w:left w:val="nil"/>
              <w:bottom w:val="nil"/>
              <w:right w:val="nil"/>
            </w:tcBorders>
          </w:tcPr>
          <w:p w14:paraId="2EDBE290" w14:textId="2C02B60B" w:rsidR="00373DFF" w:rsidRPr="00FD1DC0" w:rsidRDefault="00373DFF" w:rsidP="00373DFF">
            <w:pPr>
              <w:tabs>
                <w:tab w:val="center" w:pos="721"/>
                <w:tab w:val="center" w:pos="2036"/>
              </w:tabs>
              <w:spacing w:after="0" w:line="259" w:lineRule="auto"/>
              <w:ind w:left="0" w:right="0" w:firstLine="0"/>
              <w:jc w:val="left"/>
              <w:rPr>
                <w:lang w:val="es-BO"/>
              </w:rPr>
            </w:pPr>
            <w:r w:rsidRPr="00FD1DC0">
              <w:rPr>
                <w:rFonts w:ascii="Calibri" w:eastAsia="Calibri" w:hAnsi="Calibri" w:cs="Calibri"/>
                <w:sz w:val="22"/>
                <w:lang w:val="es-BO"/>
              </w:rPr>
              <w:tab/>
            </w:r>
            <w:r w:rsidR="00C55DE2" w:rsidRPr="00FD1DC0">
              <w:rPr>
                <w:rFonts w:ascii="Times New Roman" w:eastAsia="Times New Roman" w:hAnsi="Times New Roman" w:cs="Times New Roman"/>
                <w:sz w:val="18"/>
                <w:lang w:val="es-BO"/>
              </w:rPr>
              <w:t>1</w:t>
            </w:r>
            <w:r w:rsidR="00576A53" w:rsidRPr="00FD1DC0">
              <w:rPr>
                <w:rFonts w:ascii="Times New Roman" w:eastAsia="Times New Roman" w:hAnsi="Times New Roman" w:cs="Times New Roman"/>
                <w:sz w:val="18"/>
                <w:lang w:val="es-BO"/>
              </w:rPr>
              <w:t>.02</w:t>
            </w:r>
            <w:r w:rsidR="00C55DE2" w:rsidRPr="00FD1DC0">
              <w:rPr>
                <w:rFonts w:ascii="Times New Roman" w:eastAsia="Times New Roman" w:hAnsi="Times New Roman" w:cs="Times New Roman"/>
                <w:sz w:val="18"/>
                <w:lang w:val="es-BO"/>
              </w:rPr>
              <w:t>452</w:t>
            </w:r>
            <w:r w:rsidRPr="00FD1DC0">
              <w:rPr>
                <w:rFonts w:ascii="Times New Roman" w:eastAsia="Times New Roman" w:hAnsi="Times New Roman" w:cs="Times New Roman"/>
                <w:sz w:val="18"/>
                <w:lang w:val="es-BO"/>
              </w:rPr>
              <w:t xml:space="preserve"> </w:t>
            </w:r>
            <w:r w:rsidRPr="00FD1DC0">
              <w:rPr>
                <w:rFonts w:ascii="Times New Roman" w:eastAsia="Times New Roman" w:hAnsi="Times New Roman" w:cs="Times New Roman"/>
                <w:sz w:val="18"/>
                <w:lang w:val="es-BO"/>
              </w:rPr>
              <w:tab/>
              <w:t xml:space="preserve">0.2841 </w:t>
            </w:r>
          </w:p>
        </w:tc>
        <w:tc>
          <w:tcPr>
            <w:tcW w:w="1511" w:type="dxa"/>
            <w:tcBorders>
              <w:top w:val="nil"/>
              <w:left w:val="nil"/>
              <w:bottom w:val="nil"/>
              <w:right w:val="nil"/>
            </w:tcBorders>
          </w:tcPr>
          <w:p w14:paraId="448F8C33" w14:textId="3DD561CE" w:rsidR="00373DFF" w:rsidRPr="00FD1DC0" w:rsidRDefault="00C55DE2" w:rsidP="00373DFF">
            <w:pPr>
              <w:spacing w:after="0" w:line="259" w:lineRule="auto"/>
              <w:ind w:left="259" w:right="0" w:firstLine="0"/>
              <w:jc w:val="left"/>
              <w:rPr>
                <w:lang w:val="es-BO"/>
              </w:rPr>
            </w:pPr>
            <w:r w:rsidRPr="00FD1DC0">
              <w:rPr>
                <w:rFonts w:ascii="Times New Roman" w:eastAsia="Times New Roman" w:hAnsi="Times New Roman" w:cs="Times New Roman"/>
                <w:sz w:val="18"/>
                <w:lang w:val="es-BO"/>
              </w:rPr>
              <w:t xml:space="preserve"> 1.871</w:t>
            </w:r>
            <w:r w:rsidR="00373DFF" w:rsidRPr="00FD1DC0">
              <w:rPr>
                <w:rFonts w:ascii="Times New Roman" w:eastAsia="Times New Roman" w:hAnsi="Times New Roman" w:cs="Times New Roman"/>
                <w:sz w:val="18"/>
                <w:lang w:val="es-BO"/>
              </w:rPr>
              <w:t xml:space="preserve">09 </w:t>
            </w:r>
          </w:p>
        </w:tc>
        <w:tc>
          <w:tcPr>
            <w:tcW w:w="799" w:type="dxa"/>
            <w:tcBorders>
              <w:top w:val="nil"/>
              <w:left w:val="nil"/>
              <w:bottom w:val="nil"/>
              <w:right w:val="nil"/>
            </w:tcBorders>
          </w:tcPr>
          <w:p w14:paraId="52024ADB" w14:textId="77777777" w:rsidR="00373DFF" w:rsidRPr="00FD1DC0" w:rsidRDefault="00373DFF" w:rsidP="00373DFF">
            <w:pPr>
              <w:spacing w:after="0" w:line="259" w:lineRule="auto"/>
              <w:ind w:left="0" w:right="0" w:firstLine="0"/>
              <w:jc w:val="left"/>
              <w:rPr>
                <w:lang w:val="es-BO"/>
              </w:rPr>
            </w:pPr>
            <w:r w:rsidRPr="00FD1DC0">
              <w:rPr>
                <w:rFonts w:ascii="Times New Roman" w:eastAsia="Times New Roman" w:hAnsi="Times New Roman" w:cs="Times New Roman"/>
                <w:sz w:val="18"/>
                <w:lang w:val="es-BO"/>
              </w:rPr>
              <w:t xml:space="preserve">0.2274 </w:t>
            </w:r>
          </w:p>
        </w:tc>
      </w:tr>
      <w:tr w:rsidR="00373DFF" w:rsidRPr="00FD1DC0" w14:paraId="6C88DB86" w14:textId="77777777" w:rsidTr="00373DFF">
        <w:trPr>
          <w:trHeight w:val="226"/>
        </w:trPr>
        <w:tc>
          <w:tcPr>
            <w:tcW w:w="2090" w:type="dxa"/>
            <w:tcBorders>
              <w:top w:val="nil"/>
              <w:left w:val="nil"/>
              <w:bottom w:val="nil"/>
              <w:right w:val="nil"/>
            </w:tcBorders>
          </w:tcPr>
          <w:p w14:paraId="0D974751"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lang w:val="es-BO"/>
              </w:rPr>
              <w:t>Destacional</w:t>
            </w:r>
            <w:r w:rsidRPr="00FD1DC0">
              <w:rPr>
                <w:rFonts w:ascii="Times New Roman" w:eastAsia="Times New Roman" w:hAnsi="Times New Roman" w:cs="Times New Roman"/>
                <w:sz w:val="18"/>
              </w:rPr>
              <w:t xml:space="preserve">_centrada_1 </w:t>
            </w:r>
          </w:p>
        </w:tc>
        <w:tc>
          <w:tcPr>
            <w:tcW w:w="2628" w:type="dxa"/>
            <w:tcBorders>
              <w:top w:val="nil"/>
              <w:left w:val="nil"/>
              <w:bottom w:val="nil"/>
              <w:right w:val="nil"/>
            </w:tcBorders>
          </w:tcPr>
          <w:p w14:paraId="7F979576" w14:textId="7376600B"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w:t>
            </w:r>
            <w:r w:rsidR="00C55DE2" w:rsidRPr="00FD1DC0">
              <w:rPr>
                <w:rFonts w:ascii="Times New Roman" w:eastAsia="Times New Roman" w:hAnsi="Times New Roman" w:cs="Times New Roman"/>
                <w:sz w:val="18"/>
              </w:rPr>
              <w:t xml:space="preserve">.23221 </w:t>
            </w:r>
            <w:r w:rsidR="00C55DE2" w:rsidRPr="00FD1DC0">
              <w:rPr>
                <w:rFonts w:ascii="Times New Roman" w:eastAsia="Times New Roman" w:hAnsi="Times New Roman" w:cs="Times New Roman"/>
                <w:sz w:val="18"/>
              </w:rPr>
              <w:tab/>
              <w:t>0.0501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754DC20E" w14:textId="2FDBCA78"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1.87</w:t>
            </w:r>
            <w:r w:rsidR="00C55DE2" w:rsidRPr="00FD1DC0">
              <w:rPr>
                <w:rFonts w:ascii="Times New Roman" w:eastAsia="Times New Roman" w:hAnsi="Times New Roman" w:cs="Times New Roman"/>
                <w:sz w:val="18"/>
              </w:rPr>
              <w:t>142</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431A8C65" w14:textId="205426C1"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0.0263</w:t>
            </w:r>
            <w:r w:rsidR="00373DFF" w:rsidRPr="00FD1DC0">
              <w:rPr>
                <w:rFonts w:ascii="Times New Roman" w:eastAsia="Times New Roman" w:hAnsi="Times New Roman" w:cs="Times New Roman"/>
                <w:sz w:val="18"/>
              </w:rPr>
              <w:t xml:space="preserve"> </w:t>
            </w:r>
          </w:p>
        </w:tc>
      </w:tr>
      <w:tr w:rsidR="00373DFF" w:rsidRPr="00FD1DC0" w14:paraId="62135F93" w14:textId="77777777" w:rsidTr="00373DFF">
        <w:trPr>
          <w:trHeight w:val="224"/>
        </w:trPr>
        <w:tc>
          <w:tcPr>
            <w:tcW w:w="2090" w:type="dxa"/>
            <w:tcBorders>
              <w:top w:val="nil"/>
              <w:left w:val="nil"/>
              <w:bottom w:val="nil"/>
              <w:right w:val="nil"/>
            </w:tcBorders>
          </w:tcPr>
          <w:p w14:paraId="595AA5E7"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Destacional_centrada_2 </w:t>
            </w:r>
          </w:p>
        </w:tc>
        <w:tc>
          <w:tcPr>
            <w:tcW w:w="2628" w:type="dxa"/>
            <w:tcBorders>
              <w:top w:val="nil"/>
              <w:left w:val="nil"/>
              <w:bottom w:val="nil"/>
              <w:right w:val="nil"/>
            </w:tcBorders>
          </w:tcPr>
          <w:p w14:paraId="059B836F" w14:textId="7C88D4D3"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2.0174</w:t>
            </w:r>
            <w:r w:rsidR="00C55DE2" w:rsidRPr="00FD1DC0">
              <w:rPr>
                <w:rFonts w:ascii="Times New Roman" w:eastAsia="Times New Roman" w:hAnsi="Times New Roman" w:cs="Times New Roman"/>
                <w:sz w:val="18"/>
              </w:rPr>
              <w:t xml:space="preserve">2 </w:t>
            </w:r>
            <w:r w:rsidR="00C55DE2" w:rsidRPr="00FD1DC0">
              <w:rPr>
                <w:rFonts w:ascii="Times New Roman" w:eastAsia="Times New Roman" w:hAnsi="Times New Roman" w:cs="Times New Roman"/>
                <w:sz w:val="18"/>
              </w:rPr>
              <w:tab/>
              <w:t>0.0019</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3A0DFE1C" w14:textId="18561F9B"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1.98</w:t>
            </w:r>
            <w:r w:rsidR="00C55DE2" w:rsidRPr="00FD1DC0">
              <w:rPr>
                <w:rFonts w:ascii="Times New Roman" w:eastAsia="Times New Roman" w:hAnsi="Times New Roman" w:cs="Times New Roman"/>
                <w:sz w:val="18"/>
              </w:rPr>
              <w:t>054</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45DA4845" w14:textId="72F6C6AF"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0.0121</w:t>
            </w:r>
            <w:r w:rsidR="00373DFF" w:rsidRPr="00FD1DC0">
              <w:rPr>
                <w:rFonts w:ascii="Times New Roman" w:eastAsia="Times New Roman" w:hAnsi="Times New Roman" w:cs="Times New Roman"/>
                <w:sz w:val="18"/>
              </w:rPr>
              <w:t xml:space="preserve"> </w:t>
            </w:r>
          </w:p>
        </w:tc>
      </w:tr>
      <w:tr w:rsidR="00373DFF" w:rsidRPr="00FD1DC0" w14:paraId="5FCCE675" w14:textId="77777777" w:rsidTr="00373DFF">
        <w:trPr>
          <w:trHeight w:val="224"/>
        </w:trPr>
        <w:tc>
          <w:tcPr>
            <w:tcW w:w="2090" w:type="dxa"/>
            <w:tcBorders>
              <w:top w:val="nil"/>
              <w:left w:val="nil"/>
              <w:bottom w:val="nil"/>
              <w:right w:val="nil"/>
            </w:tcBorders>
          </w:tcPr>
          <w:p w14:paraId="1C466272"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Destacional_centrada_3 </w:t>
            </w:r>
          </w:p>
        </w:tc>
        <w:tc>
          <w:tcPr>
            <w:tcW w:w="2628" w:type="dxa"/>
            <w:tcBorders>
              <w:top w:val="nil"/>
              <w:left w:val="nil"/>
              <w:bottom w:val="nil"/>
              <w:right w:val="nil"/>
            </w:tcBorders>
          </w:tcPr>
          <w:p w14:paraId="533B734C" w14:textId="51E7B41C"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2.0362</w:t>
            </w:r>
            <w:r w:rsidR="00C55DE2" w:rsidRPr="00FD1DC0">
              <w:rPr>
                <w:rFonts w:ascii="Times New Roman" w:eastAsia="Times New Roman" w:hAnsi="Times New Roman" w:cs="Times New Roman"/>
                <w:sz w:val="18"/>
              </w:rPr>
              <w:t xml:space="preserve">8 </w:t>
            </w:r>
            <w:r w:rsidR="00C55DE2" w:rsidRPr="00FD1DC0">
              <w:rPr>
                <w:rFonts w:ascii="Times New Roman" w:eastAsia="Times New Roman" w:hAnsi="Times New Roman" w:cs="Times New Roman"/>
                <w:sz w:val="18"/>
              </w:rPr>
              <w:tab/>
              <w:t>0.0851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2AC31A2E" w14:textId="29FF4678" w:rsidR="00373DFF" w:rsidRPr="00FD1DC0" w:rsidRDefault="007C1253" w:rsidP="00373DFF">
            <w:pPr>
              <w:spacing w:after="0" w:line="259" w:lineRule="auto"/>
              <w:ind w:left="144" w:right="0" w:firstLine="0"/>
              <w:jc w:val="left"/>
            </w:pPr>
            <w:r w:rsidRPr="00FD1DC0">
              <w:rPr>
                <w:rFonts w:ascii="Times New Roman" w:eastAsia="Times New Roman" w:hAnsi="Times New Roman" w:cs="Times New Roman"/>
                <w:sz w:val="18"/>
              </w:rPr>
              <w:t xml:space="preserve">    1.12e-0</w:t>
            </w:r>
            <w:r w:rsidR="00373DFF" w:rsidRPr="00FD1DC0">
              <w:rPr>
                <w:rFonts w:ascii="Times New Roman" w:eastAsia="Times New Roman" w:hAnsi="Times New Roman" w:cs="Times New Roman"/>
                <w:sz w:val="18"/>
              </w:rPr>
              <w:t xml:space="preserve">5 </w:t>
            </w:r>
          </w:p>
        </w:tc>
        <w:tc>
          <w:tcPr>
            <w:tcW w:w="799" w:type="dxa"/>
            <w:tcBorders>
              <w:top w:val="nil"/>
              <w:left w:val="nil"/>
              <w:bottom w:val="nil"/>
              <w:right w:val="nil"/>
            </w:tcBorders>
          </w:tcPr>
          <w:p w14:paraId="19D01BF3" w14:textId="4C0EBA2A"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0.0422</w:t>
            </w:r>
            <w:r w:rsidR="00373DFF" w:rsidRPr="00FD1DC0">
              <w:rPr>
                <w:rFonts w:ascii="Times New Roman" w:eastAsia="Times New Roman" w:hAnsi="Times New Roman" w:cs="Times New Roman"/>
                <w:sz w:val="18"/>
              </w:rPr>
              <w:t xml:space="preserve"> </w:t>
            </w:r>
          </w:p>
        </w:tc>
      </w:tr>
      <w:tr w:rsidR="00373DFF" w:rsidRPr="00FD1DC0" w14:paraId="3690EB8A" w14:textId="77777777" w:rsidTr="00373DFF">
        <w:trPr>
          <w:trHeight w:val="226"/>
        </w:trPr>
        <w:tc>
          <w:tcPr>
            <w:tcW w:w="2090" w:type="dxa"/>
            <w:tcBorders>
              <w:top w:val="nil"/>
              <w:left w:val="nil"/>
              <w:bottom w:val="nil"/>
              <w:right w:val="nil"/>
            </w:tcBorders>
          </w:tcPr>
          <w:p w14:paraId="52B204A6"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Destacional_centrada_4 </w:t>
            </w:r>
          </w:p>
        </w:tc>
        <w:tc>
          <w:tcPr>
            <w:tcW w:w="2628" w:type="dxa"/>
            <w:tcBorders>
              <w:top w:val="nil"/>
              <w:left w:val="nil"/>
              <w:bottom w:val="nil"/>
              <w:right w:val="nil"/>
            </w:tcBorders>
          </w:tcPr>
          <w:p w14:paraId="12692E99" w14:textId="2E8214B2"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2.0471</w:t>
            </w:r>
            <w:r w:rsidR="00C55DE2" w:rsidRPr="00FD1DC0">
              <w:rPr>
                <w:rFonts w:ascii="Times New Roman" w:eastAsia="Times New Roman" w:hAnsi="Times New Roman" w:cs="Times New Roman"/>
                <w:sz w:val="18"/>
              </w:rPr>
              <w:t xml:space="preserve">9 </w:t>
            </w:r>
            <w:r w:rsidR="00C55DE2" w:rsidRPr="00FD1DC0">
              <w:rPr>
                <w:rFonts w:ascii="Times New Roman" w:eastAsia="Times New Roman" w:hAnsi="Times New Roman" w:cs="Times New Roman"/>
                <w:sz w:val="18"/>
              </w:rPr>
              <w:tab/>
              <w:t>0.0103</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682D5256" w14:textId="034C2101"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1.87</w:t>
            </w:r>
            <w:r w:rsidR="00C55DE2" w:rsidRPr="00FD1DC0">
              <w:rPr>
                <w:rFonts w:ascii="Times New Roman" w:eastAsia="Times New Roman" w:hAnsi="Times New Roman" w:cs="Times New Roman"/>
                <w:sz w:val="18"/>
              </w:rPr>
              <w:t>034</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2DBC9445" w14:textId="2DEE863C"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0.0222</w:t>
            </w:r>
            <w:r w:rsidR="00373DFF" w:rsidRPr="00FD1DC0">
              <w:rPr>
                <w:rFonts w:ascii="Times New Roman" w:eastAsia="Times New Roman" w:hAnsi="Times New Roman" w:cs="Times New Roman"/>
                <w:sz w:val="18"/>
              </w:rPr>
              <w:t xml:space="preserve"> </w:t>
            </w:r>
          </w:p>
        </w:tc>
      </w:tr>
      <w:tr w:rsidR="00373DFF" w:rsidRPr="00FD1DC0" w14:paraId="592A647B" w14:textId="77777777" w:rsidTr="00373DFF">
        <w:trPr>
          <w:trHeight w:val="226"/>
        </w:trPr>
        <w:tc>
          <w:tcPr>
            <w:tcW w:w="2090" w:type="dxa"/>
            <w:tcBorders>
              <w:top w:val="nil"/>
              <w:left w:val="nil"/>
              <w:bottom w:val="nil"/>
              <w:right w:val="nil"/>
            </w:tcBorders>
          </w:tcPr>
          <w:p w14:paraId="70A8EA1E"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Destacional_centrada_5 </w:t>
            </w:r>
          </w:p>
        </w:tc>
        <w:tc>
          <w:tcPr>
            <w:tcW w:w="2628" w:type="dxa"/>
            <w:tcBorders>
              <w:top w:val="nil"/>
              <w:left w:val="nil"/>
              <w:bottom w:val="nil"/>
              <w:right w:val="nil"/>
            </w:tcBorders>
          </w:tcPr>
          <w:p w14:paraId="1B2A6AB3" w14:textId="6A308199"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2.0476</w:t>
            </w:r>
            <w:r w:rsidR="00C55DE2" w:rsidRPr="00FD1DC0">
              <w:rPr>
                <w:rFonts w:ascii="Times New Roman" w:eastAsia="Times New Roman" w:hAnsi="Times New Roman" w:cs="Times New Roman"/>
                <w:sz w:val="18"/>
              </w:rPr>
              <w:t>6</w:t>
            </w:r>
            <w:r w:rsidR="00C55DE2" w:rsidRPr="00FD1DC0">
              <w:rPr>
                <w:rFonts w:ascii="Times New Roman" w:eastAsia="Times New Roman" w:hAnsi="Times New Roman" w:cs="Times New Roman"/>
                <w:sz w:val="18"/>
              </w:rPr>
              <w:tab/>
              <w:t>0.0201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454C1AC9" w14:textId="25953627"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1.98</w:t>
            </w:r>
            <w:r w:rsidR="00C55DE2" w:rsidRPr="00FD1DC0">
              <w:rPr>
                <w:rFonts w:ascii="Times New Roman" w:eastAsia="Times New Roman" w:hAnsi="Times New Roman" w:cs="Times New Roman"/>
                <w:sz w:val="18"/>
              </w:rPr>
              <w:t>107</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13AC6EFC" w14:textId="11A73470"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0.0241</w:t>
            </w:r>
            <w:r w:rsidR="00373DFF" w:rsidRPr="00FD1DC0">
              <w:rPr>
                <w:rFonts w:ascii="Times New Roman" w:eastAsia="Times New Roman" w:hAnsi="Times New Roman" w:cs="Times New Roman"/>
                <w:sz w:val="18"/>
              </w:rPr>
              <w:t xml:space="preserve"> </w:t>
            </w:r>
          </w:p>
        </w:tc>
      </w:tr>
      <w:tr w:rsidR="00373DFF" w:rsidRPr="00FD1DC0" w14:paraId="743D8039" w14:textId="77777777" w:rsidTr="00373DFF">
        <w:trPr>
          <w:trHeight w:val="224"/>
        </w:trPr>
        <w:tc>
          <w:tcPr>
            <w:tcW w:w="2090" w:type="dxa"/>
            <w:tcBorders>
              <w:top w:val="nil"/>
              <w:left w:val="nil"/>
              <w:bottom w:val="nil"/>
              <w:right w:val="nil"/>
            </w:tcBorders>
          </w:tcPr>
          <w:p w14:paraId="4A5D9F98"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Destacional_centrada_6 </w:t>
            </w:r>
          </w:p>
        </w:tc>
        <w:tc>
          <w:tcPr>
            <w:tcW w:w="2628" w:type="dxa"/>
            <w:tcBorders>
              <w:top w:val="nil"/>
              <w:left w:val="nil"/>
              <w:bottom w:val="nil"/>
              <w:right w:val="nil"/>
            </w:tcBorders>
          </w:tcPr>
          <w:p w14:paraId="04C06D0E" w14:textId="61B0DA73"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2.0263</w:t>
            </w:r>
            <w:r w:rsidR="00C55DE2" w:rsidRPr="00FD1DC0">
              <w:rPr>
                <w:rFonts w:ascii="Times New Roman" w:eastAsia="Times New Roman" w:hAnsi="Times New Roman" w:cs="Times New Roman"/>
                <w:sz w:val="18"/>
              </w:rPr>
              <w:t xml:space="preserve">1 </w:t>
            </w:r>
            <w:r w:rsidR="00C55DE2" w:rsidRPr="00FD1DC0">
              <w:rPr>
                <w:rFonts w:ascii="Times New Roman" w:eastAsia="Times New Roman" w:hAnsi="Times New Roman" w:cs="Times New Roman"/>
                <w:sz w:val="18"/>
              </w:rPr>
              <w:tab/>
              <w:t>0.0352</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6524559A" w14:textId="784FA944"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1.27</w:t>
            </w:r>
            <w:r w:rsidR="00C55DE2" w:rsidRPr="00FD1DC0">
              <w:rPr>
                <w:rFonts w:ascii="Times New Roman" w:eastAsia="Times New Roman" w:hAnsi="Times New Roman" w:cs="Times New Roman"/>
                <w:sz w:val="18"/>
              </w:rPr>
              <w:t>704</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3DF4D288" w14:textId="70359703"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0.0181</w:t>
            </w:r>
            <w:r w:rsidR="00373DFF" w:rsidRPr="00FD1DC0">
              <w:rPr>
                <w:rFonts w:ascii="Times New Roman" w:eastAsia="Times New Roman" w:hAnsi="Times New Roman" w:cs="Times New Roman"/>
                <w:sz w:val="18"/>
              </w:rPr>
              <w:t xml:space="preserve"> </w:t>
            </w:r>
          </w:p>
        </w:tc>
      </w:tr>
      <w:tr w:rsidR="00373DFF" w:rsidRPr="00FD1DC0" w14:paraId="36CBCBB1" w14:textId="77777777" w:rsidTr="00373DFF">
        <w:trPr>
          <w:trHeight w:val="224"/>
        </w:trPr>
        <w:tc>
          <w:tcPr>
            <w:tcW w:w="2090" w:type="dxa"/>
            <w:tcBorders>
              <w:top w:val="nil"/>
              <w:left w:val="nil"/>
              <w:bottom w:val="nil"/>
              <w:right w:val="nil"/>
            </w:tcBorders>
          </w:tcPr>
          <w:p w14:paraId="766CFC38"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Destacional_centrada_7 </w:t>
            </w:r>
          </w:p>
        </w:tc>
        <w:tc>
          <w:tcPr>
            <w:tcW w:w="2628" w:type="dxa"/>
            <w:tcBorders>
              <w:top w:val="nil"/>
              <w:left w:val="nil"/>
              <w:bottom w:val="nil"/>
              <w:right w:val="nil"/>
            </w:tcBorders>
          </w:tcPr>
          <w:p w14:paraId="4E14F7BD" w14:textId="1F2934A9"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2.0598</w:t>
            </w:r>
            <w:r w:rsidR="00C55DE2" w:rsidRPr="00FD1DC0">
              <w:rPr>
                <w:rFonts w:ascii="Times New Roman" w:eastAsia="Times New Roman" w:hAnsi="Times New Roman" w:cs="Times New Roman"/>
                <w:sz w:val="18"/>
              </w:rPr>
              <w:t xml:space="preserve">7 </w:t>
            </w:r>
            <w:r w:rsidR="00C55DE2" w:rsidRPr="00FD1DC0">
              <w:rPr>
                <w:rFonts w:ascii="Times New Roman" w:eastAsia="Times New Roman" w:hAnsi="Times New Roman" w:cs="Times New Roman"/>
                <w:sz w:val="18"/>
              </w:rPr>
              <w:tab/>
              <w:t>0.0101</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1570F032" w14:textId="38120A31"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1.81</w:t>
            </w:r>
            <w:r w:rsidR="00C55DE2" w:rsidRPr="00FD1DC0">
              <w:rPr>
                <w:rFonts w:ascii="Times New Roman" w:eastAsia="Times New Roman" w:hAnsi="Times New Roman" w:cs="Times New Roman"/>
                <w:sz w:val="18"/>
              </w:rPr>
              <w:t>181</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28BB5C2C" w14:textId="63B80778"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0.0203</w:t>
            </w:r>
            <w:r w:rsidR="00373DFF" w:rsidRPr="00FD1DC0">
              <w:rPr>
                <w:rFonts w:ascii="Times New Roman" w:eastAsia="Times New Roman" w:hAnsi="Times New Roman" w:cs="Times New Roman"/>
                <w:sz w:val="18"/>
              </w:rPr>
              <w:t xml:space="preserve"> </w:t>
            </w:r>
          </w:p>
        </w:tc>
      </w:tr>
      <w:tr w:rsidR="00373DFF" w:rsidRPr="00FD1DC0" w14:paraId="36BE05FD" w14:textId="77777777" w:rsidTr="00373DFF">
        <w:trPr>
          <w:trHeight w:val="226"/>
        </w:trPr>
        <w:tc>
          <w:tcPr>
            <w:tcW w:w="2090" w:type="dxa"/>
            <w:tcBorders>
              <w:top w:val="nil"/>
              <w:left w:val="nil"/>
              <w:bottom w:val="nil"/>
              <w:right w:val="nil"/>
            </w:tcBorders>
          </w:tcPr>
          <w:p w14:paraId="4352189F"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Destacional_centrada_8 </w:t>
            </w:r>
          </w:p>
        </w:tc>
        <w:tc>
          <w:tcPr>
            <w:tcW w:w="2628" w:type="dxa"/>
            <w:tcBorders>
              <w:top w:val="nil"/>
              <w:left w:val="nil"/>
              <w:bottom w:val="nil"/>
              <w:right w:val="nil"/>
            </w:tcBorders>
          </w:tcPr>
          <w:p w14:paraId="3F876500" w14:textId="5D80C35A"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2.0126</w:t>
            </w:r>
            <w:r w:rsidR="00C55DE2" w:rsidRPr="00FD1DC0">
              <w:rPr>
                <w:rFonts w:ascii="Times New Roman" w:eastAsia="Times New Roman" w:hAnsi="Times New Roman" w:cs="Times New Roman"/>
                <w:sz w:val="18"/>
              </w:rPr>
              <w:t xml:space="preserve">6 </w:t>
            </w:r>
            <w:r w:rsidR="00C55DE2" w:rsidRPr="00FD1DC0">
              <w:rPr>
                <w:rFonts w:ascii="Times New Roman" w:eastAsia="Times New Roman" w:hAnsi="Times New Roman" w:cs="Times New Roman"/>
                <w:sz w:val="18"/>
              </w:rPr>
              <w:tab/>
              <w:t>0.0265</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483A97A7" w14:textId="36425D78"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w:t>
            </w:r>
            <w:r w:rsidR="00C55DE2" w:rsidRPr="00FD1DC0">
              <w:rPr>
                <w:rFonts w:ascii="Times New Roman" w:eastAsia="Times New Roman" w:hAnsi="Times New Roman" w:cs="Times New Roman"/>
                <w:sz w:val="18"/>
              </w:rPr>
              <w:t>.47065</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0AD8B5AB" w14:textId="24D39992"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0.0061</w:t>
            </w:r>
            <w:r w:rsidR="00373DFF" w:rsidRPr="00FD1DC0">
              <w:rPr>
                <w:rFonts w:ascii="Times New Roman" w:eastAsia="Times New Roman" w:hAnsi="Times New Roman" w:cs="Times New Roman"/>
                <w:sz w:val="18"/>
              </w:rPr>
              <w:t xml:space="preserve"> </w:t>
            </w:r>
          </w:p>
        </w:tc>
      </w:tr>
      <w:tr w:rsidR="00373DFF" w:rsidRPr="00FD1DC0" w14:paraId="558E82E3" w14:textId="77777777" w:rsidTr="00373DFF">
        <w:trPr>
          <w:trHeight w:val="226"/>
        </w:trPr>
        <w:tc>
          <w:tcPr>
            <w:tcW w:w="2090" w:type="dxa"/>
            <w:tcBorders>
              <w:top w:val="nil"/>
              <w:left w:val="nil"/>
              <w:bottom w:val="nil"/>
              <w:right w:val="nil"/>
            </w:tcBorders>
          </w:tcPr>
          <w:p w14:paraId="32F87C79" w14:textId="77777777" w:rsidR="00373DFF" w:rsidRPr="00FD1DC0" w:rsidRDefault="00373DFF" w:rsidP="00373DFF">
            <w:pPr>
              <w:spacing w:after="0" w:line="259" w:lineRule="auto"/>
              <w:ind w:left="108" w:right="0" w:firstLine="0"/>
              <w:jc w:val="left"/>
            </w:pPr>
            <w:r w:rsidRPr="00FD1DC0">
              <w:rPr>
                <w:rFonts w:ascii="Times New Roman" w:eastAsia="Times New Roman" w:hAnsi="Times New Roman" w:cs="Times New Roman"/>
                <w:sz w:val="18"/>
              </w:rPr>
              <w:t xml:space="preserve">Destacional_centrada_9 </w:t>
            </w:r>
          </w:p>
        </w:tc>
        <w:tc>
          <w:tcPr>
            <w:tcW w:w="2628" w:type="dxa"/>
            <w:tcBorders>
              <w:top w:val="nil"/>
              <w:left w:val="nil"/>
              <w:bottom w:val="nil"/>
              <w:right w:val="nil"/>
            </w:tcBorders>
          </w:tcPr>
          <w:p w14:paraId="01CC0554" w14:textId="76DDE283" w:rsidR="00373DFF" w:rsidRPr="00FD1DC0" w:rsidRDefault="00373DFF" w:rsidP="00373DFF">
            <w:pPr>
              <w:tabs>
                <w:tab w:val="center" w:pos="723"/>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2.0137</w:t>
            </w:r>
            <w:r w:rsidR="00C55DE2" w:rsidRPr="00FD1DC0">
              <w:rPr>
                <w:rFonts w:ascii="Times New Roman" w:eastAsia="Times New Roman" w:hAnsi="Times New Roman" w:cs="Times New Roman"/>
                <w:sz w:val="18"/>
              </w:rPr>
              <w:t xml:space="preserve">5 </w:t>
            </w:r>
            <w:r w:rsidR="00C55DE2" w:rsidRPr="00FD1DC0">
              <w:rPr>
                <w:rFonts w:ascii="Times New Roman" w:eastAsia="Times New Roman" w:hAnsi="Times New Roman" w:cs="Times New Roman"/>
                <w:sz w:val="18"/>
              </w:rPr>
              <w:tab/>
              <w:t>0.0134</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0AF5130D" w14:textId="138E81DE" w:rsidR="00373DFF" w:rsidRPr="00FD1DC0" w:rsidRDefault="007C1253" w:rsidP="00373DFF">
            <w:pPr>
              <w:spacing w:after="0" w:line="259" w:lineRule="auto"/>
              <w:ind w:left="288" w:right="0" w:firstLine="0"/>
              <w:jc w:val="left"/>
            </w:pPr>
            <w:r w:rsidRPr="00FD1DC0">
              <w:rPr>
                <w:rFonts w:ascii="Times New Roman" w:eastAsia="Times New Roman" w:hAnsi="Times New Roman" w:cs="Times New Roman"/>
                <w:sz w:val="18"/>
              </w:rPr>
              <w:t>1</w:t>
            </w:r>
            <w:r w:rsidR="00C55DE2" w:rsidRPr="00FD1DC0">
              <w:rPr>
                <w:rFonts w:ascii="Times New Roman" w:eastAsia="Times New Roman" w:hAnsi="Times New Roman" w:cs="Times New Roman"/>
                <w:sz w:val="18"/>
              </w:rPr>
              <w:t>.87153</w:t>
            </w:r>
            <w:r w:rsidR="00373DFF"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76E8A1A7" w14:textId="35D6E502"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0.0204</w:t>
            </w:r>
            <w:r w:rsidR="00373DFF" w:rsidRPr="00FD1DC0">
              <w:rPr>
                <w:rFonts w:ascii="Times New Roman" w:eastAsia="Times New Roman" w:hAnsi="Times New Roman" w:cs="Times New Roman"/>
                <w:sz w:val="18"/>
              </w:rPr>
              <w:t xml:space="preserve"> </w:t>
            </w:r>
          </w:p>
        </w:tc>
      </w:tr>
      <w:tr w:rsidR="00373DFF" w:rsidRPr="00FD1DC0" w14:paraId="103CFE49" w14:textId="77777777" w:rsidTr="00373DFF">
        <w:trPr>
          <w:trHeight w:val="220"/>
        </w:trPr>
        <w:tc>
          <w:tcPr>
            <w:tcW w:w="2090" w:type="dxa"/>
            <w:vMerge w:val="restart"/>
            <w:tcBorders>
              <w:top w:val="nil"/>
              <w:left w:val="nil"/>
              <w:bottom w:val="nil"/>
              <w:right w:val="nil"/>
            </w:tcBorders>
          </w:tcPr>
          <w:p w14:paraId="57401980" w14:textId="32E1E4E8" w:rsidR="00373DFF" w:rsidRPr="00FD1DC0" w:rsidRDefault="00373DFF" w:rsidP="00373DFF">
            <w:pPr>
              <w:spacing w:after="0" w:line="259" w:lineRule="auto"/>
              <w:ind w:left="62" w:right="0" w:firstLine="0"/>
              <w:jc w:val="left"/>
            </w:pPr>
            <w:r w:rsidRPr="00FD1DC0">
              <w:rPr>
                <w:rFonts w:ascii="Times New Roman" w:eastAsia="Times New Roman" w:hAnsi="Times New Roman" w:cs="Times New Roman"/>
                <w:sz w:val="18"/>
              </w:rPr>
              <w:t xml:space="preserve">Destacional_centrada_10 </w:t>
            </w:r>
          </w:p>
        </w:tc>
        <w:tc>
          <w:tcPr>
            <w:tcW w:w="2628" w:type="dxa"/>
            <w:tcBorders>
              <w:top w:val="nil"/>
              <w:left w:val="nil"/>
              <w:bottom w:val="nil"/>
              <w:right w:val="nil"/>
            </w:tcBorders>
          </w:tcPr>
          <w:p w14:paraId="511F37F0" w14:textId="5BBD94B5" w:rsidR="00373DFF" w:rsidRPr="00FD1DC0" w:rsidRDefault="00373DFF" w:rsidP="00373DFF">
            <w:pPr>
              <w:tabs>
                <w:tab w:val="center" w:pos="721"/>
                <w:tab w:val="center" w:pos="2036"/>
              </w:tabs>
              <w:spacing w:after="0" w:line="259" w:lineRule="auto"/>
              <w:ind w:left="0" w:right="0" w:firstLine="0"/>
              <w:jc w:val="left"/>
            </w:pPr>
            <w:r w:rsidRPr="00FD1DC0">
              <w:rPr>
                <w:rFonts w:ascii="Calibri" w:eastAsia="Calibri" w:hAnsi="Calibri" w:cs="Calibri"/>
                <w:sz w:val="22"/>
              </w:rPr>
              <w:tab/>
            </w:r>
            <w:r w:rsidR="007C1253" w:rsidRPr="00FD1DC0">
              <w:rPr>
                <w:rFonts w:ascii="Times New Roman" w:eastAsia="Times New Roman" w:hAnsi="Times New Roman" w:cs="Times New Roman"/>
                <w:sz w:val="18"/>
              </w:rPr>
              <w:t>2.0472</w:t>
            </w:r>
            <w:r w:rsidR="00C55DE2" w:rsidRPr="00FD1DC0">
              <w:rPr>
                <w:rFonts w:ascii="Times New Roman" w:eastAsia="Times New Roman" w:hAnsi="Times New Roman" w:cs="Times New Roman"/>
                <w:sz w:val="18"/>
              </w:rPr>
              <w:t xml:space="preserve">4 </w:t>
            </w:r>
            <w:r w:rsidR="00C55DE2" w:rsidRPr="00FD1DC0">
              <w:rPr>
                <w:rFonts w:ascii="Times New Roman" w:eastAsia="Times New Roman" w:hAnsi="Times New Roman" w:cs="Times New Roman"/>
                <w:sz w:val="18"/>
              </w:rPr>
              <w:tab/>
              <w:t>0.0332</w:t>
            </w:r>
            <w:r w:rsidRPr="00FD1DC0">
              <w:rPr>
                <w:rFonts w:ascii="Times New Roman" w:eastAsia="Times New Roman" w:hAnsi="Times New Roman" w:cs="Times New Roman"/>
                <w:sz w:val="18"/>
              </w:rPr>
              <w:t xml:space="preserve"> </w:t>
            </w:r>
          </w:p>
        </w:tc>
        <w:tc>
          <w:tcPr>
            <w:tcW w:w="1511" w:type="dxa"/>
            <w:tcBorders>
              <w:top w:val="nil"/>
              <w:left w:val="nil"/>
              <w:bottom w:val="nil"/>
              <w:right w:val="nil"/>
            </w:tcBorders>
          </w:tcPr>
          <w:p w14:paraId="35B1D65E" w14:textId="41D949DB" w:rsidR="00373DFF" w:rsidRPr="00FD1DC0" w:rsidRDefault="007C1253" w:rsidP="00373DFF">
            <w:pPr>
              <w:spacing w:after="0" w:line="259" w:lineRule="auto"/>
              <w:ind w:left="259" w:right="0" w:firstLine="0"/>
              <w:jc w:val="left"/>
            </w:pPr>
            <w:r w:rsidRPr="00FD1DC0">
              <w:rPr>
                <w:rFonts w:ascii="Times New Roman" w:eastAsia="Times New Roman" w:hAnsi="Times New Roman" w:cs="Times New Roman"/>
                <w:sz w:val="18"/>
              </w:rPr>
              <w:t xml:space="preserve"> 1</w:t>
            </w:r>
            <w:r w:rsidR="00C55DE2" w:rsidRPr="00FD1DC0">
              <w:rPr>
                <w:rFonts w:ascii="Times New Roman" w:eastAsia="Times New Roman" w:hAnsi="Times New Roman" w:cs="Times New Roman"/>
                <w:sz w:val="18"/>
              </w:rPr>
              <w:t>.81102</w:t>
            </w:r>
            <w:r w:rsidR="00373DFF" w:rsidRPr="00FD1DC0">
              <w:rPr>
                <w:rFonts w:ascii="Times New Roman" w:eastAsia="Times New Roman" w:hAnsi="Times New Roman" w:cs="Times New Roman"/>
                <w:sz w:val="18"/>
              </w:rPr>
              <w:t xml:space="preserve"> </w:t>
            </w:r>
          </w:p>
        </w:tc>
        <w:tc>
          <w:tcPr>
            <w:tcW w:w="799" w:type="dxa"/>
            <w:vMerge w:val="restart"/>
            <w:tcBorders>
              <w:top w:val="nil"/>
              <w:left w:val="nil"/>
              <w:bottom w:val="nil"/>
              <w:right w:val="nil"/>
            </w:tcBorders>
          </w:tcPr>
          <w:p w14:paraId="0279A85F" w14:textId="1F9A7B38" w:rsidR="00373DFF" w:rsidRPr="00FD1DC0" w:rsidRDefault="00C55DE2" w:rsidP="00373DFF">
            <w:pPr>
              <w:spacing w:after="0" w:line="259" w:lineRule="auto"/>
              <w:ind w:left="0" w:right="0" w:firstLine="0"/>
              <w:jc w:val="left"/>
            </w:pPr>
            <w:r w:rsidRPr="00FD1DC0">
              <w:rPr>
                <w:rFonts w:ascii="Times New Roman" w:eastAsia="Times New Roman" w:hAnsi="Times New Roman" w:cs="Times New Roman"/>
                <w:sz w:val="18"/>
              </w:rPr>
              <w:t>0.0595</w:t>
            </w:r>
            <w:r w:rsidR="00373DFF" w:rsidRPr="00FD1DC0">
              <w:rPr>
                <w:rFonts w:ascii="Times New Roman" w:eastAsia="Times New Roman" w:hAnsi="Times New Roman" w:cs="Times New Roman"/>
                <w:sz w:val="18"/>
              </w:rPr>
              <w:t xml:space="preserve"> </w:t>
            </w:r>
          </w:p>
        </w:tc>
      </w:tr>
      <w:tr w:rsidR="00373DFF" w:rsidRPr="00F45D6D" w14:paraId="0B3936AE" w14:textId="77777777">
        <w:trPr>
          <w:trHeight w:val="232"/>
        </w:trPr>
        <w:tc>
          <w:tcPr>
            <w:tcW w:w="0" w:type="auto"/>
            <w:vMerge/>
            <w:tcBorders>
              <w:top w:val="nil"/>
              <w:left w:val="nil"/>
              <w:bottom w:val="nil"/>
              <w:right w:val="nil"/>
            </w:tcBorders>
          </w:tcPr>
          <w:p w14:paraId="0EF3EBB9" w14:textId="77777777" w:rsidR="00373DFF" w:rsidRPr="00FD1DC0" w:rsidRDefault="00373DFF" w:rsidP="00373DFF">
            <w:pPr>
              <w:spacing w:after="160" w:line="259" w:lineRule="auto"/>
              <w:ind w:left="0" w:right="0" w:firstLine="0"/>
              <w:jc w:val="left"/>
            </w:pPr>
          </w:p>
        </w:tc>
        <w:tc>
          <w:tcPr>
            <w:tcW w:w="4139" w:type="dxa"/>
            <w:gridSpan w:val="2"/>
            <w:tcBorders>
              <w:top w:val="nil"/>
              <w:left w:val="nil"/>
              <w:bottom w:val="nil"/>
              <w:right w:val="nil"/>
            </w:tcBorders>
          </w:tcPr>
          <w:p w14:paraId="3EA6E156" w14:textId="77777777" w:rsidR="00373DFF" w:rsidRPr="00FD1DC0" w:rsidRDefault="00373DFF" w:rsidP="00373DFF">
            <w:pPr>
              <w:spacing w:after="0" w:line="259" w:lineRule="auto"/>
              <w:ind w:left="2" w:right="0" w:firstLine="0"/>
              <w:jc w:val="left"/>
              <w:rPr>
                <w:lang w:val="es-BO"/>
              </w:rPr>
            </w:pPr>
            <w:r w:rsidRPr="00FD1DC0">
              <w:rPr>
                <w:rFonts w:ascii="Times New Roman" w:eastAsia="Times New Roman" w:hAnsi="Times New Roman" w:cs="Times New Roman"/>
                <w:b/>
                <w:sz w:val="18"/>
                <w:lang w:val="es-BO"/>
              </w:rPr>
              <w:t xml:space="preserve">Matriz de parámetros de transición </w:t>
            </w:r>
          </w:p>
        </w:tc>
        <w:tc>
          <w:tcPr>
            <w:tcW w:w="0" w:type="auto"/>
            <w:vMerge/>
            <w:tcBorders>
              <w:top w:val="nil"/>
              <w:left w:val="nil"/>
              <w:bottom w:val="nil"/>
              <w:right w:val="nil"/>
            </w:tcBorders>
          </w:tcPr>
          <w:p w14:paraId="231F84DF" w14:textId="77777777" w:rsidR="00373DFF" w:rsidRPr="00FD1DC0" w:rsidRDefault="00373DFF" w:rsidP="00373DFF">
            <w:pPr>
              <w:spacing w:after="160" w:line="259" w:lineRule="auto"/>
              <w:ind w:left="0" w:right="0" w:firstLine="0"/>
              <w:jc w:val="left"/>
              <w:rPr>
                <w:lang w:val="es-BO"/>
              </w:rPr>
            </w:pPr>
          </w:p>
        </w:tc>
      </w:tr>
      <w:tr w:rsidR="00373DFF" w:rsidRPr="00FD1DC0" w14:paraId="07F308FA" w14:textId="77777777" w:rsidTr="00373DFF">
        <w:trPr>
          <w:trHeight w:val="223"/>
        </w:trPr>
        <w:tc>
          <w:tcPr>
            <w:tcW w:w="2090" w:type="dxa"/>
            <w:tcBorders>
              <w:top w:val="nil"/>
              <w:left w:val="nil"/>
              <w:bottom w:val="nil"/>
              <w:right w:val="nil"/>
            </w:tcBorders>
          </w:tcPr>
          <w:p w14:paraId="2CF3789E" w14:textId="77777777" w:rsidR="00373DFF" w:rsidRPr="00FD1DC0" w:rsidRDefault="00373DFF" w:rsidP="00373DFF">
            <w:pPr>
              <w:spacing w:after="0" w:line="259" w:lineRule="auto"/>
              <w:ind w:left="168" w:right="0" w:firstLine="0"/>
              <w:jc w:val="left"/>
            </w:pPr>
            <w:r w:rsidRPr="00FD1DC0">
              <w:rPr>
                <w:rFonts w:ascii="Times New Roman" w:eastAsia="Times New Roman" w:hAnsi="Times New Roman" w:cs="Times New Roman"/>
                <w:sz w:val="18"/>
              </w:rPr>
              <w:t xml:space="preserve">P00 (Alta Volatilidad) </w:t>
            </w:r>
          </w:p>
        </w:tc>
        <w:tc>
          <w:tcPr>
            <w:tcW w:w="4139" w:type="dxa"/>
            <w:gridSpan w:val="2"/>
            <w:tcBorders>
              <w:top w:val="nil"/>
              <w:left w:val="nil"/>
              <w:bottom w:val="nil"/>
              <w:right w:val="nil"/>
            </w:tcBorders>
          </w:tcPr>
          <w:p w14:paraId="13672336" w14:textId="46C49902" w:rsidR="00373DFF" w:rsidRPr="00FD1DC0" w:rsidRDefault="00373DFF" w:rsidP="00373DFF">
            <w:pPr>
              <w:tabs>
                <w:tab w:val="center" w:pos="721"/>
                <w:tab w:val="center" w:pos="2036"/>
                <w:tab w:val="center" w:pos="3209"/>
              </w:tabs>
              <w:spacing w:after="0" w:line="259" w:lineRule="auto"/>
              <w:ind w:left="0" w:right="0" w:firstLine="0"/>
              <w:jc w:val="left"/>
            </w:pPr>
            <w:r w:rsidRPr="00FD1DC0">
              <w:rPr>
                <w:rFonts w:ascii="Calibri" w:eastAsia="Calibri" w:hAnsi="Calibri" w:cs="Calibri"/>
                <w:sz w:val="22"/>
              </w:rPr>
              <w:tab/>
            </w:r>
            <w:r w:rsidR="008E0187" w:rsidRPr="00FD1DC0">
              <w:rPr>
                <w:rFonts w:ascii="Times New Roman" w:eastAsia="Times New Roman" w:hAnsi="Times New Roman" w:cs="Times New Roman"/>
                <w:sz w:val="18"/>
              </w:rPr>
              <w:t xml:space="preserve">0.392325 </w:t>
            </w:r>
            <w:r w:rsidR="008E0187" w:rsidRPr="00FD1DC0">
              <w:rPr>
                <w:rFonts w:ascii="Times New Roman" w:eastAsia="Times New Roman" w:hAnsi="Times New Roman" w:cs="Times New Roman"/>
                <w:sz w:val="18"/>
              </w:rPr>
              <w:tab/>
              <w:t xml:space="preserve">0.0418 </w:t>
            </w:r>
            <w:r w:rsidR="008E0187" w:rsidRPr="00FD1DC0">
              <w:rPr>
                <w:rFonts w:ascii="Times New Roman" w:eastAsia="Times New Roman" w:hAnsi="Times New Roman" w:cs="Times New Roman"/>
                <w:sz w:val="18"/>
              </w:rPr>
              <w:tab/>
              <w:t>0.10148</w:t>
            </w:r>
            <w:r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76BE91FA" w14:textId="78F68023" w:rsidR="00373DFF" w:rsidRPr="00FD1DC0" w:rsidRDefault="008E0187" w:rsidP="00373DFF">
            <w:pPr>
              <w:spacing w:after="0" w:line="259" w:lineRule="auto"/>
              <w:ind w:left="0" w:right="0" w:firstLine="0"/>
              <w:jc w:val="left"/>
            </w:pPr>
            <w:r w:rsidRPr="00FD1DC0">
              <w:rPr>
                <w:rFonts w:ascii="Times New Roman" w:eastAsia="Times New Roman" w:hAnsi="Times New Roman" w:cs="Times New Roman"/>
                <w:sz w:val="18"/>
              </w:rPr>
              <w:t>0.09</w:t>
            </w:r>
            <w:r w:rsidR="00373DFF" w:rsidRPr="00FD1DC0">
              <w:rPr>
                <w:rFonts w:ascii="Times New Roman" w:eastAsia="Times New Roman" w:hAnsi="Times New Roman" w:cs="Times New Roman"/>
                <w:sz w:val="18"/>
              </w:rPr>
              <w:t xml:space="preserve">71 </w:t>
            </w:r>
          </w:p>
        </w:tc>
      </w:tr>
      <w:tr w:rsidR="00373DFF" w:rsidRPr="00FD1DC0" w14:paraId="32DC0DCC" w14:textId="77777777" w:rsidTr="00373DFF">
        <w:trPr>
          <w:trHeight w:val="228"/>
        </w:trPr>
        <w:tc>
          <w:tcPr>
            <w:tcW w:w="2090" w:type="dxa"/>
            <w:tcBorders>
              <w:top w:val="nil"/>
              <w:left w:val="nil"/>
              <w:bottom w:val="nil"/>
              <w:right w:val="nil"/>
            </w:tcBorders>
          </w:tcPr>
          <w:p w14:paraId="11AC1AB1" w14:textId="77777777" w:rsidR="00373DFF" w:rsidRPr="00FD1DC0" w:rsidRDefault="00373DFF" w:rsidP="00373DFF">
            <w:pPr>
              <w:spacing w:after="0" w:line="259" w:lineRule="auto"/>
              <w:ind w:left="158" w:right="0" w:firstLine="0"/>
              <w:jc w:val="left"/>
            </w:pPr>
            <w:r w:rsidRPr="00FD1DC0">
              <w:rPr>
                <w:rFonts w:ascii="Times New Roman" w:eastAsia="Times New Roman" w:hAnsi="Times New Roman" w:cs="Times New Roman"/>
                <w:sz w:val="18"/>
              </w:rPr>
              <w:t xml:space="preserve">P11 (Baja Volatilidad) </w:t>
            </w:r>
          </w:p>
        </w:tc>
        <w:tc>
          <w:tcPr>
            <w:tcW w:w="4139" w:type="dxa"/>
            <w:gridSpan w:val="2"/>
            <w:tcBorders>
              <w:top w:val="nil"/>
              <w:left w:val="nil"/>
              <w:bottom w:val="nil"/>
              <w:right w:val="nil"/>
            </w:tcBorders>
          </w:tcPr>
          <w:p w14:paraId="1288B0CD" w14:textId="1C467284" w:rsidR="00373DFF" w:rsidRPr="00FD1DC0" w:rsidRDefault="00373DFF" w:rsidP="00373DFF">
            <w:pPr>
              <w:tabs>
                <w:tab w:val="center" w:pos="721"/>
                <w:tab w:val="center" w:pos="2036"/>
                <w:tab w:val="center" w:pos="3209"/>
              </w:tabs>
              <w:spacing w:after="0" w:line="259" w:lineRule="auto"/>
              <w:ind w:left="0" w:right="0" w:firstLine="0"/>
              <w:jc w:val="left"/>
            </w:pPr>
            <w:r w:rsidRPr="00FD1DC0">
              <w:rPr>
                <w:rFonts w:ascii="Calibri" w:eastAsia="Calibri" w:hAnsi="Calibri" w:cs="Calibri"/>
                <w:sz w:val="22"/>
              </w:rPr>
              <w:tab/>
            </w:r>
            <w:r w:rsidR="008E0187" w:rsidRPr="00FD1DC0">
              <w:rPr>
                <w:rFonts w:ascii="Times New Roman" w:eastAsia="Times New Roman" w:hAnsi="Times New Roman" w:cs="Times New Roman"/>
                <w:sz w:val="18"/>
              </w:rPr>
              <w:t xml:space="preserve">0.292273 </w:t>
            </w:r>
            <w:r w:rsidR="008E0187" w:rsidRPr="00FD1DC0">
              <w:rPr>
                <w:rFonts w:ascii="Times New Roman" w:eastAsia="Times New Roman" w:hAnsi="Times New Roman" w:cs="Times New Roman"/>
                <w:sz w:val="18"/>
              </w:rPr>
              <w:tab/>
              <w:t xml:space="preserve">0.0347 </w:t>
            </w:r>
            <w:r w:rsidR="008E0187" w:rsidRPr="00FD1DC0">
              <w:rPr>
                <w:rFonts w:ascii="Times New Roman" w:eastAsia="Times New Roman" w:hAnsi="Times New Roman" w:cs="Times New Roman"/>
                <w:sz w:val="18"/>
              </w:rPr>
              <w:tab/>
              <w:t>0.23718</w:t>
            </w:r>
            <w:r w:rsidRPr="00FD1DC0">
              <w:rPr>
                <w:rFonts w:ascii="Times New Roman" w:eastAsia="Times New Roman" w:hAnsi="Times New Roman" w:cs="Times New Roman"/>
                <w:sz w:val="18"/>
              </w:rPr>
              <w:t xml:space="preserve"> </w:t>
            </w:r>
          </w:p>
        </w:tc>
        <w:tc>
          <w:tcPr>
            <w:tcW w:w="799" w:type="dxa"/>
            <w:tcBorders>
              <w:top w:val="nil"/>
              <w:left w:val="nil"/>
              <w:bottom w:val="nil"/>
              <w:right w:val="nil"/>
            </w:tcBorders>
          </w:tcPr>
          <w:p w14:paraId="20F35A4D" w14:textId="5CF7A8BF" w:rsidR="00373DFF" w:rsidRPr="00FD1DC0" w:rsidRDefault="008E0187" w:rsidP="00373DFF">
            <w:pPr>
              <w:spacing w:after="0" w:line="259" w:lineRule="auto"/>
              <w:ind w:left="0" w:right="0" w:firstLine="0"/>
              <w:jc w:val="left"/>
            </w:pPr>
            <w:r w:rsidRPr="00FD1DC0">
              <w:rPr>
                <w:rFonts w:ascii="Times New Roman" w:eastAsia="Times New Roman" w:hAnsi="Times New Roman" w:cs="Times New Roman"/>
                <w:sz w:val="18"/>
              </w:rPr>
              <w:t>0.04</w:t>
            </w:r>
            <w:r w:rsidR="00373DFF" w:rsidRPr="00FD1DC0">
              <w:rPr>
                <w:rFonts w:ascii="Times New Roman" w:eastAsia="Times New Roman" w:hAnsi="Times New Roman" w:cs="Times New Roman"/>
                <w:sz w:val="18"/>
              </w:rPr>
              <w:t xml:space="preserve">26 </w:t>
            </w:r>
          </w:p>
        </w:tc>
      </w:tr>
      <w:tr w:rsidR="00373DFF" w:rsidRPr="00FD1DC0" w14:paraId="0F8EC91B" w14:textId="77777777" w:rsidTr="00373DFF">
        <w:trPr>
          <w:trHeight w:val="205"/>
        </w:trPr>
        <w:tc>
          <w:tcPr>
            <w:tcW w:w="2090" w:type="dxa"/>
            <w:tcBorders>
              <w:top w:val="nil"/>
              <w:left w:val="nil"/>
              <w:bottom w:val="nil"/>
              <w:right w:val="nil"/>
            </w:tcBorders>
          </w:tcPr>
          <w:p w14:paraId="3F0A0C13" w14:textId="77777777" w:rsidR="00373DFF" w:rsidRPr="00FD1DC0" w:rsidRDefault="00373DFF" w:rsidP="00373DFF">
            <w:pPr>
              <w:spacing w:after="0" w:line="259" w:lineRule="auto"/>
              <w:ind w:left="0" w:right="109" w:firstLine="0"/>
              <w:jc w:val="right"/>
            </w:pPr>
            <w:r w:rsidRPr="00FD1DC0">
              <w:rPr>
                <w:rFonts w:ascii="Times New Roman" w:eastAsia="Times New Roman" w:hAnsi="Times New Roman" w:cs="Times New Roman"/>
                <w:b/>
                <w:sz w:val="18"/>
              </w:rPr>
              <w:t xml:space="preserve">México </w:t>
            </w:r>
          </w:p>
        </w:tc>
        <w:tc>
          <w:tcPr>
            <w:tcW w:w="4139" w:type="dxa"/>
            <w:gridSpan w:val="2"/>
            <w:tcBorders>
              <w:top w:val="nil"/>
              <w:left w:val="nil"/>
              <w:bottom w:val="nil"/>
              <w:right w:val="nil"/>
            </w:tcBorders>
          </w:tcPr>
          <w:p w14:paraId="7F7DFAE2" w14:textId="77777777" w:rsidR="00373DFF" w:rsidRPr="00FD1DC0" w:rsidRDefault="00373DFF" w:rsidP="00373DFF">
            <w:pPr>
              <w:spacing w:after="0" w:line="259" w:lineRule="auto"/>
              <w:ind w:left="2986" w:right="0" w:firstLine="0"/>
              <w:jc w:val="left"/>
            </w:pPr>
            <w:r w:rsidRPr="00FD1DC0">
              <w:rPr>
                <w:rFonts w:ascii="Times New Roman" w:eastAsia="Times New Roman" w:hAnsi="Times New Roman" w:cs="Times New Roman"/>
                <w:b/>
                <w:sz w:val="18"/>
              </w:rPr>
              <w:t xml:space="preserve">Brasil </w:t>
            </w:r>
          </w:p>
        </w:tc>
        <w:tc>
          <w:tcPr>
            <w:tcW w:w="799" w:type="dxa"/>
            <w:tcBorders>
              <w:top w:val="nil"/>
              <w:left w:val="nil"/>
              <w:bottom w:val="nil"/>
              <w:right w:val="nil"/>
            </w:tcBorders>
          </w:tcPr>
          <w:p w14:paraId="1F0EA2F8" w14:textId="77777777" w:rsidR="00373DFF" w:rsidRPr="00FD1DC0" w:rsidRDefault="00373DFF" w:rsidP="00373DFF">
            <w:pPr>
              <w:spacing w:after="160" w:line="259" w:lineRule="auto"/>
              <w:ind w:left="0" w:right="0" w:firstLine="0"/>
              <w:jc w:val="left"/>
            </w:pPr>
          </w:p>
        </w:tc>
      </w:tr>
      <w:tr w:rsidR="00373DFF" w:rsidRPr="00FD1DC0" w14:paraId="12369F46" w14:textId="77777777">
        <w:trPr>
          <w:trHeight w:val="2064"/>
        </w:trPr>
        <w:tc>
          <w:tcPr>
            <w:tcW w:w="7028" w:type="dxa"/>
            <w:gridSpan w:val="4"/>
            <w:tcBorders>
              <w:top w:val="nil"/>
              <w:left w:val="nil"/>
              <w:bottom w:val="nil"/>
              <w:right w:val="nil"/>
            </w:tcBorders>
          </w:tcPr>
          <w:p w14:paraId="73C5CF72" w14:textId="4C079EDF" w:rsidR="00373DFF" w:rsidRPr="00FD1DC0" w:rsidRDefault="00373DFF" w:rsidP="00373DFF">
            <w:pPr>
              <w:tabs>
                <w:tab w:val="center" w:pos="1701"/>
                <w:tab w:val="center" w:pos="5309"/>
              </w:tabs>
              <w:spacing w:after="0" w:line="259" w:lineRule="auto"/>
              <w:ind w:left="0" w:right="0" w:firstLine="0"/>
              <w:jc w:val="left"/>
              <w:rPr>
                <w:lang w:val="es-BO"/>
              </w:rPr>
            </w:pPr>
            <w:r w:rsidRPr="00FD1DC0">
              <w:rPr>
                <w:rFonts w:ascii="Calibri" w:eastAsia="Calibri" w:hAnsi="Calibri" w:cs="Calibri"/>
                <w:sz w:val="22"/>
                <w:lang w:val="es-BO"/>
              </w:rPr>
              <w:tab/>
            </w:r>
            <w:r w:rsidR="004B61DF" w:rsidRPr="00FD1DC0">
              <w:rPr>
                <w:rFonts w:ascii="Times New Roman" w:eastAsia="Times New Roman" w:hAnsi="Times New Roman" w:cs="Times New Roman"/>
                <w:sz w:val="18"/>
                <w:lang w:val="es-BO"/>
              </w:rPr>
              <w:t xml:space="preserve">Logaritmo de verosimilitud: -145.2345 </w:t>
            </w:r>
            <w:r w:rsidR="004B61DF" w:rsidRPr="00FD1DC0">
              <w:rPr>
                <w:rFonts w:ascii="Times New Roman" w:eastAsia="Times New Roman" w:hAnsi="Times New Roman" w:cs="Times New Roman"/>
                <w:sz w:val="18"/>
                <w:lang w:val="es-BO"/>
              </w:rPr>
              <w:tab/>
              <w:t>Logaritmo de verosimilitud: -336.5423</w:t>
            </w:r>
            <w:r w:rsidRPr="00FD1DC0">
              <w:rPr>
                <w:rFonts w:ascii="Times New Roman" w:eastAsia="Times New Roman" w:hAnsi="Times New Roman" w:cs="Times New Roman"/>
                <w:sz w:val="18"/>
                <w:lang w:val="es-BO"/>
              </w:rPr>
              <w:t xml:space="preserve"> </w:t>
            </w:r>
          </w:p>
          <w:p w14:paraId="06B442ED" w14:textId="77777777" w:rsidR="00373DFF" w:rsidRPr="00FD1DC0" w:rsidRDefault="00373DFF" w:rsidP="00373DFF">
            <w:pPr>
              <w:tabs>
                <w:tab w:val="center" w:pos="1700"/>
                <w:tab w:val="center" w:pos="5308"/>
              </w:tabs>
              <w:spacing w:after="0" w:line="259" w:lineRule="auto"/>
              <w:ind w:left="0" w:right="0" w:firstLine="0"/>
              <w:jc w:val="left"/>
              <w:rPr>
                <w:lang w:val="es-BO"/>
              </w:rPr>
            </w:pPr>
            <w:r w:rsidRPr="00FD1DC0">
              <w:rPr>
                <w:rFonts w:ascii="Calibri" w:eastAsia="Calibri" w:hAnsi="Calibri" w:cs="Calibri"/>
                <w:sz w:val="22"/>
                <w:lang w:val="es-BO"/>
              </w:rPr>
              <w:tab/>
            </w:r>
            <w:r w:rsidR="00576A53" w:rsidRPr="00FD1DC0">
              <w:rPr>
                <w:rFonts w:ascii="Times New Roman" w:eastAsia="Times New Roman" w:hAnsi="Times New Roman" w:cs="Times New Roman"/>
                <w:sz w:val="18"/>
                <w:lang w:val="es-BO"/>
              </w:rPr>
              <w:t xml:space="preserve">Número de observaciones: 324 </w:t>
            </w:r>
            <w:r w:rsidR="00576A53" w:rsidRPr="00FD1DC0">
              <w:rPr>
                <w:rFonts w:ascii="Times New Roman" w:eastAsia="Times New Roman" w:hAnsi="Times New Roman" w:cs="Times New Roman"/>
                <w:sz w:val="18"/>
                <w:lang w:val="es-BO"/>
              </w:rPr>
              <w:tab/>
              <w:t>Número de observaciones: 324</w:t>
            </w:r>
            <w:r w:rsidRPr="00FD1DC0">
              <w:rPr>
                <w:rFonts w:ascii="Times New Roman" w:eastAsia="Times New Roman" w:hAnsi="Times New Roman" w:cs="Times New Roman"/>
                <w:sz w:val="18"/>
                <w:lang w:val="es-BO"/>
              </w:rPr>
              <w:t xml:space="preserve"> </w:t>
            </w:r>
          </w:p>
          <w:p w14:paraId="4C7830F9" w14:textId="6904CAB6" w:rsidR="00373DFF" w:rsidRPr="00FD1DC0" w:rsidRDefault="00373DFF" w:rsidP="00373DFF">
            <w:pPr>
              <w:tabs>
                <w:tab w:val="center" w:pos="1700"/>
                <w:tab w:val="center" w:pos="5308"/>
              </w:tabs>
              <w:spacing w:after="0" w:line="259" w:lineRule="auto"/>
              <w:ind w:left="0" w:right="0" w:firstLine="0"/>
              <w:jc w:val="left"/>
              <w:rPr>
                <w:lang w:val="es-BO"/>
              </w:rPr>
            </w:pPr>
            <w:r w:rsidRPr="00FD1DC0">
              <w:rPr>
                <w:rFonts w:ascii="Calibri" w:eastAsia="Calibri" w:hAnsi="Calibri" w:cs="Calibri"/>
                <w:sz w:val="22"/>
                <w:lang w:val="es-BO"/>
              </w:rPr>
              <w:tab/>
            </w:r>
            <w:r w:rsidR="004B61DF" w:rsidRPr="00FD1DC0">
              <w:rPr>
                <w:rFonts w:ascii="Times New Roman" w:eastAsia="Times New Roman" w:hAnsi="Times New Roman" w:cs="Times New Roman"/>
                <w:sz w:val="18"/>
                <w:lang w:val="es-BO"/>
              </w:rPr>
              <w:t xml:space="preserve">Criterio de Akaike: -7.724 </w:t>
            </w:r>
            <w:r w:rsidR="004B61DF" w:rsidRPr="00FD1DC0">
              <w:rPr>
                <w:rFonts w:ascii="Times New Roman" w:eastAsia="Times New Roman" w:hAnsi="Times New Roman" w:cs="Times New Roman"/>
                <w:sz w:val="18"/>
                <w:lang w:val="es-BO"/>
              </w:rPr>
              <w:tab/>
              <w:t>Criterio de Akaike: -8.435</w:t>
            </w:r>
            <w:r w:rsidRPr="00FD1DC0">
              <w:rPr>
                <w:rFonts w:ascii="Times New Roman" w:eastAsia="Times New Roman" w:hAnsi="Times New Roman" w:cs="Times New Roman"/>
                <w:sz w:val="18"/>
                <w:lang w:val="es-BO"/>
              </w:rPr>
              <w:t xml:space="preserve"> </w:t>
            </w:r>
          </w:p>
          <w:p w14:paraId="39FBA71C" w14:textId="76BED834" w:rsidR="00373DFF" w:rsidRPr="00FD1DC0" w:rsidRDefault="00373DFF" w:rsidP="00373DFF">
            <w:pPr>
              <w:tabs>
                <w:tab w:val="center" w:pos="1701"/>
                <w:tab w:val="center" w:pos="5309"/>
              </w:tabs>
              <w:spacing w:after="0" w:line="259" w:lineRule="auto"/>
              <w:ind w:left="0" w:right="0" w:firstLine="0"/>
              <w:jc w:val="left"/>
              <w:rPr>
                <w:lang w:val="es-BO"/>
              </w:rPr>
            </w:pPr>
            <w:r w:rsidRPr="00FD1DC0">
              <w:rPr>
                <w:rFonts w:ascii="Calibri" w:eastAsia="Calibri" w:hAnsi="Calibri" w:cs="Calibri"/>
                <w:sz w:val="22"/>
                <w:lang w:val="es-BO"/>
              </w:rPr>
              <w:tab/>
            </w:r>
            <w:r w:rsidR="004B61DF" w:rsidRPr="00FD1DC0">
              <w:rPr>
                <w:rFonts w:ascii="Times New Roman" w:eastAsia="Times New Roman" w:hAnsi="Times New Roman" w:cs="Times New Roman"/>
                <w:sz w:val="18"/>
                <w:lang w:val="es-BO"/>
              </w:rPr>
              <w:t xml:space="preserve">Criterio de Hannan-Quinn: -7.234 </w:t>
            </w:r>
            <w:r w:rsidR="004B61DF" w:rsidRPr="00FD1DC0">
              <w:rPr>
                <w:rFonts w:ascii="Times New Roman" w:eastAsia="Times New Roman" w:hAnsi="Times New Roman" w:cs="Times New Roman"/>
                <w:sz w:val="18"/>
                <w:lang w:val="es-BO"/>
              </w:rPr>
              <w:tab/>
              <w:t>Criterio de Hannan-Quinn: -8.567</w:t>
            </w:r>
            <w:r w:rsidRPr="00FD1DC0">
              <w:rPr>
                <w:rFonts w:ascii="Times New Roman" w:eastAsia="Times New Roman" w:hAnsi="Times New Roman" w:cs="Times New Roman"/>
                <w:sz w:val="18"/>
                <w:lang w:val="es-BO"/>
              </w:rPr>
              <w:t xml:space="preserve"> </w:t>
            </w:r>
          </w:p>
          <w:p w14:paraId="0646B12C" w14:textId="128665E3" w:rsidR="00373DFF" w:rsidRPr="00FD1DC0" w:rsidRDefault="00373DFF" w:rsidP="00373DFF">
            <w:pPr>
              <w:tabs>
                <w:tab w:val="center" w:pos="1701"/>
                <w:tab w:val="center" w:pos="5310"/>
              </w:tabs>
              <w:spacing w:after="0" w:line="259" w:lineRule="auto"/>
              <w:ind w:left="0" w:right="0" w:firstLine="0"/>
              <w:jc w:val="left"/>
              <w:rPr>
                <w:lang w:val="es-BO"/>
              </w:rPr>
            </w:pPr>
            <w:r w:rsidRPr="00FD1DC0">
              <w:rPr>
                <w:rFonts w:ascii="Calibri" w:eastAsia="Calibri" w:hAnsi="Calibri" w:cs="Calibri"/>
                <w:sz w:val="22"/>
                <w:lang w:val="es-BO"/>
              </w:rPr>
              <w:tab/>
            </w:r>
            <w:r w:rsidR="004B61DF" w:rsidRPr="00FD1DC0">
              <w:rPr>
                <w:rFonts w:ascii="Times New Roman" w:eastAsia="Times New Roman" w:hAnsi="Times New Roman" w:cs="Times New Roman"/>
                <w:sz w:val="18"/>
                <w:lang w:val="es-BO"/>
              </w:rPr>
              <w:t xml:space="preserve">Criterio de Schwarz: -7.653 </w:t>
            </w:r>
            <w:r w:rsidR="004B61DF" w:rsidRPr="00FD1DC0">
              <w:rPr>
                <w:rFonts w:ascii="Times New Roman" w:eastAsia="Times New Roman" w:hAnsi="Times New Roman" w:cs="Times New Roman"/>
                <w:sz w:val="18"/>
                <w:lang w:val="es-BO"/>
              </w:rPr>
              <w:tab/>
              <w:t>Criterio de Schwarz: -8.672</w:t>
            </w:r>
            <w:r w:rsidRPr="00FD1DC0">
              <w:rPr>
                <w:rFonts w:ascii="Times New Roman" w:eastAsia="Times New Roman" w:hAnsi="Times New Roman" w:cs="Times New Roman"/>
                <w:sz w:val="18"/>
                <w:lang w:val="es-BO"/>
              </w:rPr>
              <w:t xml:space="preserve"> </w:t>
            </w:r>
          </w:p>
          <w:p w14:paraId="610789D9" w14:textId="77777777" w:rsidR="00373DFF" w:rsidRPr="00FD1DC0" w:rsidRDefault="00373DFF" w:rsidP="00373DFF">
            <w:pPr>
              <w:tabs>
                <w:tab w:val="right" w:pos="7028"/>
              </w:tabs>
              <w:spacing w:after="0" w:line="259" w:lineRule="auto"/>
              <w:ind w:left="0" w:right="0" w:firstLine="0"/>
              <w:jc w:val="left"/>
              <w:rPr>
                <w:lang w:val="es-BO"/>
              </w:rPr>
            </w:pPr>
            <w:r w:rsidRPr="00FD1DC0">
              <w:rPr>
                <w:rFonts w:ascii="Times New Roman" w:eastAsia="Times New Roman" w:hAnsi="Times New Roman" w:cs="Times New Roman"/>
                <w:sz w:val="18"/>
                <w:lang w:val="es-BO"/>
              </w:rPr>
              <w:t>Prueba de  Autocorrelación de Portmanteau (p-</w:t>
            </w:r>
            <w:r w:rsidRPr="00FD1DC0">
              <w:rPr>
                <w:rFonts w:ascii="Times New Roman" w:eastAsia="Times New Roman" w:hAnsi="Times New Roman" w:cs="Times New Roman"/>
                <w:sz w:val="18"/>
                <w:lang w:val="es-BO"/>
              </w:rPr>
              <w:tab/>
              <w:t>Prueba de  Autocorrelación de Portmanteau (p-</w:t>
            </w:r>
          </w:p>
          <w:p w14:paraId="794031C1" w14:textId="7CDFDBBD" w:rsidR="00373DFF" w:rsidRPr="00FD1DC0" w:rsidRDefault="00373DFF" w:rsidP="00373DFF">
            <w:pPr>
              <w:tabs>
                <w:tab w:val="center" w:pos="1701"/>
                <w:tab w:val="center" w:pos="5309"/>
              </w:tabs>
              <w:spacing w:after="0" w:line="259" w:lineRule="auto"/>
              <w:ind w:left="0" w:right="0" w:firstLine="0"/>
              <w:jc w:val="left"/>
            </w:pPr>
            <w:r w:rsidRPr="00FD1DC0">
              <w:rPr>
                <w:rFonts w:ascii="Calibri" w:eastAsia="Calibri" w:hAnsi="Calibri" w:cs="Calibri"/>
                <w:sz w:val="22"/>
                <w:lang w:val="es-BO"/>
              </w:rPr>
              <w:tab/>
            </w:r>
            <w:r w:rsidR="004B61DF" w:rsidRPr="00FD1DC0">
              <w:rPr>
                <w:rFonts w:ascii="Times New Roman" w:eastAsia="Times New Roman" w:hAnsi="Times New Roman" w:cs="Times New Roman"/>
                <w:sz w:val="18"/>
              </w:rPr>
              <w:t xml:space="preserve">value): 0.6754 </w:t>
            </w:r>
            <w:r w:rsidR="004B61DF" w:rsidRPr="00FD1DC0">
              <w:rPr>
                <w:rFonts w:ascii="Times New Roman" w:eastAsia="Times New Roman" w:hAnsi="Times New Roman" w:cs="Times New Roman"/>
                <w:sz w:val="18"/>
              </w:rPr>
              <w:tab/>
              <w:t>value): 0.7863</w:t>
            </w:r>
            <w:r w:rsidRPr="00FD1DC0">
              <w:rPr>
                <w:rFonts w:ascii="Times New Roman" w:eastAsia="Times New Roman" w:hAnsi="Times New Roman" w:cs="Times New Roman"/>
                <w:sz w:val="18"/>
              </w:rPr>
              <w:t xml:space="preserve"> </w:t>
            </w:r>
          </w:p>
          <w:p w14:paraId="2EC1B6D8" w14:textId="37EB59FC" w:rsidR="00373DFF" w:rsidRPr="00FD1DC0" w:rsidRDefault="00373DFF" w:rsidP="00373DFF">
            <w:pPr>
              <w:tabs>
                <w:tab w:val="center" w:pos="1694"/>
                <w:tab w:val="center" w:pos="5302"/>
              </w:tabs>
              <w:spacing w:after="0" w:line="259" w:lineRule="auto"/>
              <w:ind w:left="0" w:right="0" w:firstLine="0"/>
              <w:jc w:val="left"/>
            </w:pPr>
            <w:r w:rsidRPr="00FD1DC0">
              <w:rPr>
                <w:rFonts w:ascii="Calibri" w:eastAsia="Calibri" w:hAnsi="Calibri" w:cs="Calibri"/>
                <w:sz w:val="22"/>
              </w:rPr>
              <w:tab/>
            </w:r>
            <w:r w:rsidR="004B61DF" w:rsidRPr="00FD1DC0">
              <w:rPr>
                <w:rFonts w:ascii="Times New Roman" w:eastAsia="Times New Roman" w:hAnsi="Times New Roman" w:cs="Times New Roman"/>
                <w:sz w:val="18"/>
              </w:rPr>
              <w:t xml:space="preserve">Prueba Arch LM (p-value): 0.6723 </w:t>
            </w:r>
            <w:r w:rsidR="004B61DF" w:rsidRPr="00FD1DC0">
              <w:rPr>
                <w:rFonts w:ascii="Times New Roman" w:eastAsia="Times New Roman" w:hAnsi="Times New Roman" w:cs="Times New Roman"/>
                <w:sz w:val="18"/>
              </w:rPr>
              <w:tab/>
              <w:t>Prueba Arch LM (p-value): 0.7723</w:t>
            </w:r>
            <w:r w:rsidRPr="00FD1DC0">
              <w:rPr>
                <w:rFonts w:ascii="Times New Roman" w:eastAsia="Times New Roman" w:hAnsi="Times New Roman" w:cs="Times New Roman"/>
                <w:sz w:val="18"/>
              </w:rPr>
              <w:t xml:space="preserve"> </w:t>
            </w:r>
          </w:p>
          <w:p w14:paraId="58904E84" w14:textId="6C5553AE" w:rsidR="00373DFF" w:rsidRPr="00FD1DC0" w:rsidRDefault="00373DFF" w:rsidP="00373DFF">
            <w:pPr>
              <w:tabs>
                <w:tab w:val="center" w:pos="1693"/>
                <w:tab w:val="center" w:pos="5301"/>
              </w:tabs>
              <w:spacing w:after="0" w:line="259" w:lineRule="auto"/>
              <w:ind w:left="0" w:right="0" w:firstLine="0"/>
              <w:jc w:val="left"/>
              <w:rPr>
                <w:lang w:val="es-BO"/>
              </w:rPr>
            </w:pPr>
            <w:r w:rsidRPr="00FD1DC0">
              <w:rPr>
                <w:rFonts w:ascii="Calibri" w:eastAsia="Calibri" w:hAnsi="Calibri" w:cs="Calibri"/>
                <w:sz w:val="22"/>
              </w:rPr>
              <w:tab/>
            </w:r>
            <w:r w:rsidR="004B61DF" w:rsidRPr="00FD1DC0">
              <w:rPr>
                <w:rFonts w:ascii="Times New Roman" w:eastAsia="Times New Roman" w:hAnsi="Times New Roman" w:cs="Times New Roman"/>
                <w:sz w:val="18"/>
                <w:lang w:val="es-BO"/>
              </w:rPr>
              <w:t>Media Volatilidad México: 0.1334</w:t>
            </w:r>
            <w:r w:rsidRPr="00FD1DC0">
              <w:rPr>
                <w:rFonts w:ascii="Times New Roman" w:eastAsia="Times New Roman" w:hAnsi="Times New Roman" w:cs="Times New Roman"/>
                <w:sz w:val="18"/>
                <w:lang w:val="es-BO"/>
              </w:rPr>
              <w:t xml:space="preserve"> </w:t>
            </w:r>
            <w:r w:rsidRPr="00FD1DC0">
              <w:rPr>
                <w:rFonts w:ascii="Times New Roman" w:eastAsia="Times New Roman" w:hAnsi="Times New Roman" w:cs="Times New Roman"/>
                <w:sz w:val="18"/>
                <w:lang w:val="es-BO"/>
              </w:rPr>
              <w:tab/>
              <w:t xml:space="preserve">Media Volatilidad Brasil: </w:t>
            </w:r>
            <w:r w:rsidR="004B61DF" w:rsidRPr="00FD1DC0">
              <w:rPr>
                <w:rFonts w:ascii="Times New Roman" w:eastAsia="Times New Roman" w:hAnsi="Times New Roman" w:cs="Times New Roman"/>
                <w:sz w:val="18"/>
                <w:lang w:val="es-BO"/>
              </w:rPr>
              <w:t>0.7623</w:t>
            </w:r>
            <w:r w:rsidRPr="00FD1DC0">
              <w:rPr>
                <w:rFonts w:ascii="Times New Roman" w:eastAsia="Times New Roman" w:hAnsi="Times New Roman" w:cs="Times New Roman"/>
                <w:sz w:val="18"/>
                <w:lang w:val="es-BO"/>
              </w:rPr>
              <w:t xml:space="preserve"> </w:t>
            </w:r>
          </w:p>
          <w:p w14:paraId="3320F3D2" w14:textId="4347B1F0" w:rsidR="00373DFF" w:rsidRPr="00FD1DC0" w:rsidRDefault="00373DFF" w:rsidP="00373DFF">
            <w:pPr>
              <w:tabs>
                <w:tab w:val="center" w:pos="5303"/>
              </w:tabs>
              <w:spacing w:after="0" w:line="259" w:lineRule="auto"/>
              <w:ind w:left="0" w:right="0" w:firstLine="0"/>
              <w:jc w:val="left"/>
              <w:rPr>
                <w:lang w:val="es-BO"/>
              </w:rPr>
            </w:pPr>
            <w:r w:rsidRPr="00FD1DC0">
              <w:rPr>
                <w:rFonts w:ascii="Times New Roman" w:eastAsia="Times New Roman" w:hAnsi="Times New Roman" w:cs="Times New Roman"/>
                <w:sz w:val="18"/>
                <w:lang w:val="es-BO"/>
              </w:rPr>
              <w:t>Desviació</w:t>
            </w:r>
            <w:r w:rsidR="004B61DF" w:rsidRPr="00FD1DC0">
              <w:rPr>
                <w:rFonts w:ascii="Times New Roman" w:eastAsia="Times New Roman" w:hAnsi="Times New Roman" w:cs="Times New Roman"/>
                <w:sz w:val="18"/>
                <w:lang w:val="es-BO"/>
              </w:rPr>
              <w:t>n estándar Vol. México: 0.008734</w:t>
            </w:r>
            <w:r w:rsidRPr="00FD1DC0">
              <w:rPr>
                <w:rFonts w:ascii="Times New Roman" w:eastAsia="Times New Roman" w:hAnsi="Times New Roman" w:cs="Times New Roman"/>
                <w:sz w:val="18"/>
                <w:lang w:val="es-BO"/>
              </w:rPr>
              <w:t xml:space="preserve"> </w:t>
            </w:r>
            <w:r w:rsidRPr="00FD1DC0">
              <w:rPr>
                <w:rFonts w:ascii="Times New Roman" w:eastAsia="Times New Roman" w:hAnsi="Times New Roman" w:cs="Times New Roman"/>
                <w:sz w:val="18"/>
                <w:lang w:val="es-BO"/>
              </w:rPr>
              <w:tab/>
              <w:t>Desviació</w:t>
            </w:r>
            <w:r w:rsidR="004B61DF" w:rsidRPr="00FD1DC0">
              <w:rPr>
                <w:rFonts w:ascii="Times New Roman" w:eastAsia="Times New Roman" w:hAnsi="Times New Roman" w:cs="Times New Roman"/>
                <w:sz w:val="18"/>
                <w:lang w:val="es-BO"/>
              </w:rPr>
              <w:t>n estándar Vol. Brasil: 0.009812</w:t>
            </w:r>
            <w:r w:rsidRPr="00FD1DC0">
              <w:rPr>
                <w:rFonts w:ascii="Times New Roman" w:eastAsia="Times New Roman" w:hAnsi="Times New Roman" w:cs="Times New Roman"/>
                <w:sz w:val="18"/>
                <w:lang w:val="es-BO"/>
              </w:rPr>
              <w:t xml:space="preserve"> </w:t>
            </w:r>
          </w:p>
        </w:tc>
      </w:tr>
    </w:tbl>
    <w:p w14:paraId="382BD14F" w14:textId="77777777" w:rsidR="00E415A5" w:rsidRPr="00FD1DC0" w:rsidRDefault="00E415A5" w:rsidP="00E415A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2984B1E0" w14:textId="098808D2" w:rsidR="00746790" w:rsidRPr="00FD1DC0" w:rsidRDefault="00E9600B"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En la estimación con máxima verosimilitud de este modelo del cuadro 7 se puede advertir que mediante un proceso de transformación que el sigma del ré</w:t>
      </w:r>
      <w:r w:rsidR="001E0C08" w:rsidRPr="00FD1DC0">
        <w:rPr>
          <w:rFonts w:ascii="Times New Roman" w:hAnsi="Times New Roman" w:cs="Times New Roman"/>
          <w:lang w:val="es-BO"/>
        </w:rPr>
        <w:t>gimen 1 (baja volatilidad</w:t>
      </w:r>
      <w:r w:rsidR="00151BB8" w:rsidRPr="00FD1DC0">
        <w:rPr>
          <w:rFonts w:ascii="Times New Roman" w:hAnsi="Times New Roman" w:cs="Times New Roman"/>
          <w:lang w:val="es-BO"/>
        </w:rPr>
        <w:t xml:space="preserve"> cambiaría real</w:t>
      </w:r>
      <w:r w:rsidR="002C38BB" w:rsidRPr="00FD1DC0">
        <w:rPr>
          <w:rFonts w:ascii="Times New Roman" w:hAnsi="Times New Roman" w:cs="Times New Roman"/>
          <w:lang w:val="es-BO"/>
        </w:rPr>
        <w:t>) es -2.46 para México y -6.42</w:t>
      </w:r>
      <w:r w:rsidRPr="00FD1DC0">
        <w:rPr>
          <w:rFonts w:ascii="Times New Roman" w:hAnsi="Times New Roman" w:cs="Times New Roman"/>
          <w:lang w:val="es-BO"/>
        </w:rPr>
        <w:t xml:space="preserve"> para Brasil, mientras que </w:t>
      </w:r>
      <w:r w:rsidR="004B71DB" w:rsidRPr="00FD1DC0">
        <w:rPr>
          <w:rFonts w:ascii="Times New Roman" w:hAnsi="Times New Roman" w:cs="Times New Roman"/>
          <w:lang w:val="es-BO"/>
        </w:rPr>
        <w:t>la sigma</w:t>
      </w:r>
      <w:r w:rsidRPr="00FD1DC0">
        <w:rPr>
          <w:rFonts w:ascii="Times New Roman" w:hAnsi="Times New Roman" w:cs="Times New Roman"/>
          <w:lang w:val="es-BO"/>
        </w:rPr>
        <w:t xml:space="preserve"> del ré</w:t>
      </w:r>
      <w:r w:rsidR="001E0C08" w:rsidRPr="00FD1DC0">
        <w:rPr>
          <w:rFonts w:ascii="Times New Roman" w:hAnsi="Times New Roman" w:cs="Times New Roman"/>
          <w:lang w:val="es-BO"/>
        </w:rPr>
        <w:t>gimen 0 (alta volatilidad</w:t>
      </w:r>
      <w:r w:rsidR="00151BB8" w:rsidRPr="00FD1DC0">
        <w:rPr>
          <w:rFonts w:ascii="Times New Roman" w:hAnsi="Times New Roman" w:cs="Times New Roman"/>
          <w:lang w:val="es-BO"/>
        </w:rPr>
        <w:t xml:space="preserve"> cambiaria real</w:t>
      </w:r>
      <w:r w:rsidR="002C38BB" w:rsidRPr="00FD1DC0">
        <w:rPr>
          <w:rFonts w:ascii="Times New Roman" w:hAnsi="Times New Roman" w:cs="Times New Roman"/>
          <w:lang w:val="es-BO"/>
        </w:rPr>
        <w:t>) es -8.43 para México y -3.87</w:t>
      </w:r>
      <w:r w:rsidRPr="00FD1DC0">
        <w:rPr>
          <w:rFonts w:ascii="Times New Roman" w:hAnsi="Times New Roman" w:cs="Times New Roman"/>
          <w:lang w:val="es-BO"/>
        </w:rPr>
        <w:t xml:space="preserve"> para Brasil, por lo </w:t>
      </w:r>
      <w:r w:rsidR="00377677" w:rsidRPr="00FD1DC0">
        <w:rPr>
          <w:rFonts w:ascii="Times New Roman" w:hAnsi="Times New Roman" w:cs="Times New Roman"/>
          <w:lang w:val="es-BO"/>
        </w:rPr>
        <w:t>tanto,</w:t>
      </w:r>
      <w:r w:rsidRPr="00FD1DC0">
        <w:rPr>
          <w:rFonts w:ascii="Times New Roman" w:hAnsi="Times New Roman" w:cs="Times New Roman"/>
          <w:lang w:val="es-BO"/>
        </w:rPr>
        <w:t xml:space="preserve"> el</w:t>
      </w:r>
      <w:r w:rsidR="002C38BB" w:rsidRPr="00FD1DC0">
        <w:rPr>
          <w:rFonts w:ascii="Times New Roman" w:hAnsi="Times New Roman" w:cs="Times New Roman"/>
          <w:lang w:val="es-BO"/>
        </w:rPr>
        <w:t xml:space="preserve"> índice del tipo de cambio real </w:t>
      </w:r>
      <w:r w:rsidRPr="00FD1DC0">
        <w:rPr>
          <w:rFonts w:ascii="Times New Roman" w:hAnsi="Times New Roman" w:cs="Times New Roman"/>
          <w:lang w:val="es-BO"/>
        </w:rPr>
        <w:t xml:space="preserve">en México como en Brasil, es </w:t>
      </w:r>
      <w:r w:rsidR="00377677" w:rsidRPr="00FD1DC0">
        <w:rPr>
          <w:rFonts w:ascii="Times New Roman" w:hAnsi="Times New Roman" w:cs="Times New Roman"/>
          <w:lang w:val="es-BO"/>
        </w:rPr>
        <w:t>más</w:t>
      </w:r>
      <w:r w:rsidRPr="00FD1DC0">
        <w:rPr>
          <w:rFonts w:ascii="Times New Roman" w:hAnsi="Times New Roman" w:cs="Times New Roman"/>
          <w:lang w:val="es-BO"/>
        </w:rPr>
        <w:t xml:space="preserve"> volátil en periodos de alta volatilidad que en periodos de baja volatilidad</w:t>
      </w:r>
      <w:r w:rsidR="00B823BE" w:rsidRPr="00FD1DC0">
        <w:rPr>
          <w:rFonts w:ascii="Times New Roman" w:hAnsi="Times New Roman" w:cs="Times New Roman"/>
          <w:lang w:val="es-BO"/>
        </w:rPr>
        <w:t xml:space="preserve"> cambiaria real</w:t>
      </w:r>
      <w:r w:rsidRPr="00FD1DC0">
        <w:rPr>
          <w:rFonts w:ascii="Times New Roman" w:hAnsi="Times New Roman" w:cs="Times New Roman"/>
          <w:lang w:val="es-BO"/>
        </w:rPr>
        <w:t xml:space="preserve">. También, se puede advertir que las pruebas de efectos Arch y autocorrelación aplicados a los residuos del modelo MSAR(2) se aceptan, es decir que se cumplen los supuestos </w:t>
      </w:r>
      <w:r w:rsidR="00A80986" w:rsidRPr="00FD1DC0">
        <w:rPr>
          <w:rFonts w:ascii="Times New Roman" w:hAnsi="Times New Roman" w:cs="Times New Roman"/>
          <w:lang w:val="es-BO"/>
        </w:rPr>
        <w:t>esfericidad de los residuos, cumpliéndose con ello los supuestos MELI (Mejores estimados lineales e insesgados) y</w:t>
      </w:r>
      <w:r w:rsidRPr="00FD1DC0">
        <w:rPr>
          <w:rFonts w:ascii="Times New Roman" w:hAnsi="Times New Roman" w:cs="Times New Roman"/>
          <w:lang w:val="es-BO"/>
        </w:rPr>
        <w:t xml:space="preserve"> </w:t>
      </w:r>
      <w:r w:rsidR="00A80986" w:rsidRPr="00FD1DC0">
        <w:rPr>
          <w:rFonts w:ascii="Times New Roman" w:hAnsi="Times New Roman" w:cs="Times New Roman"/>
          <w:lang w:val="es-BO"/>
        </w:rPr>
        <w:t>el cumplimiento del Teorema de Gauss-Markov.</w:t>
      </w:r>
    </w:p>
    <w:p w14:paraId="62A895E5" w14:textId="0824B59F" w:rsidR="00593A8E" w:rsidRPr="00FD1DC0" w:rsidRDefault="00593A8E"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Otro elemento muy importante para la verificación de nuestra hipótesis de investigación, es que esp</w:t>
      </w:r>
      <w:r w:rsidR="00017CF7" w:rsidRPr="00FD1DC0">
        <w:rPr>
          <w:rFonts w:ascii="Times New Roman" w:hAnsi="Times New Roman" w:cs="Times New Roman"/>
          <w:lang w:val="es-BO"/>
        </w:rPr>
        <w:t>ecialmente en el régimen de baja volatilidad del tipo de cambio real</w:t>
      </w:r>
      <w:r w:rsidRPr="00FD1DC0">
        <w:rPr>
          <w:rFonts w:ascii="Times New Roman" w:hAnsi="Times New Roman" w:cs="Times New Roman"/>
          <w:lang w:val="es-BO"/>
        </w:rPr>
        <w:t xml:space="preserve"> para ambos paíse</w:t>
      </w:r>
      <w:r w:rsidR="00017CF7" w:rsidRPr="00FD1DC0">
        <w:rPr>
          <w:rFonts w:ascii="Times New Roman" w:hAnsi="Times New Roman" w:cs="Times New Roman"/>
          <w:lang w:val="es-BO"/>
        </w:rPr>
        <w:t>s, la tasa de interés de política monetaria (i)</w:t>
      </w:r>
      <w:r w:rsidRPr="00FD1DC0">
        <w:rPr>
          <w:rFonts w:ascii="Times New Roman" w:hAnsi="Times New Roman" w:cs="Times New Roman"/>
          <w:lang w:val="es-BO"/>
        </w:rPr>
        <w:t>,</w:t>
      </w:r>
      <w:r w:rsidR="00017CF7" w:rsidRPr="00FD1DC0">
        <w:rPr>
          <w:rFonts w:ascii="Times New Roman" w:hAnsi="Times New Roman" w:cs="Times New Roman"/>
          <w:lang w:val="es-BO"/>
        </w:rPr>
        <w:t xml:space="preserve"> las reservas internacionales (rin), la deuda interna (di) y la adopción de metas de inflación (</w:t>
      </w:r>
      <w:r w:rsidR="00017CF7" w:rsidRPr="00FD1DC0">
        <w:rPr>
          <w:rFonts w:ascii="Times New Roman" w:hAnsi="Times New Roman" w:cs="Times New Roman"/>
          <w:i/>
          <w:lang w:val="es-BO"/>
        </w:rPr>
        <w:t>dummy de metas de inflación</w:t>
      </w:r>
      <w:r w:rsidR="00017CF7" w:rsidRPr="00FD1DC0">
        <w:rPr>
          <w:rFonts w:ascii="Times New Roman" w:hAnsi="Times New Roman" w:cs="Times New Roman"/>
          <w:lang w:val="es-BO"/>
        </w:rPr>
        <w:t>) guardan una relación inversa y significativa al 95% de confianza con respecto al comportamiento del tipo de cambio real (TCR) y su respectiva volatilidad. Por su parte,</w:t>
      </w:r>
      <w:r w:rsidRPr="00FD1DC0">
        <w:rPr>
          <w:rFonts w:ascii="Times New Roman" w:hAnsi="Times New Roman" w:cs="Times New Roman"/>
          <w:lang w:val="es-BO"/>
        </w:rPr>
        <w:t xml:space="preserve"> la tasa de inflación</w:t>
      </w:r>
      <w:r w:rsidR="00017CF7" w:rsidRPr="00FD1DC0">
        <w:rPr>
          <w:rFonts w:ascii="Times New Roman" w:hAnsi="Times New Roman" w:cs="Times New Roman"/>
          <w:lang w:val="es-BO"/>
        </w:rPr>
        <w:t xml:space="preserve"> y el crédito interno neto</w:t>
      </w:r>
      <w:r w:rsidR="00B67D03" w:rsidRPr="00FD1DC0">
        <w:rPr>
          <w:rFonts w:ascii="Times New Roman" w:hAnsi="Times New Roman" w:cs="Times New Roman"/>
          <w:lang w:val="es-BO"/>
        </w:rPr>
        <w:t xml:space="preserve"> (CIN)</w:t>
      </w:r>
      <w:r w:rsidR="00017CF7" w:rsidRPr="00FD1DC0">
        <w:rPr>
          <w:rFonts w:ascii="Times New Roman" w:hAnsi="Times New Roman" w:cs="Times New Roman"/>
          <w:lang w:val="es-BO"/>
        </w:rPr>
        <w:t xml:space="preserve"> de ambos países guardan una relación directa </w:t>
      </w:r>
      <w:r w:rsidRPr="00FD1DC0">
        <w:rPr>
          <w:rFonts w:ascii="Times New Roman" w:hAnsi="Times New Roman" w:cs="Times New Roman"/>
          <w:lang w:val="es-BO"/>
        </w:rPr>
        <w:t>y significativo</w:t>
      </w:r>
      <w:r w:rsidR="00017CF7" w:rsidRPr="00FD1DC0">
        <w:rPr>
          <w:rFonts w:ascii="Times New Roman" w:hAnsi="Times New Roman" w:cs="Times New Roman"/>
          <w:lang w:val="es-BO"/>
        </w:rPr>
        <w:t xml:space="preserve"> sobre el tipo de cambio real (TCR)</w:t>
      </w:r>
      <w:r w:rsidR="00B67D03" w:rsidRPr="00FD1DC0">
        <w:rPr>
          <w:rFonts w:ascii="Times New Roman" w:hAnsi="Times New Roman" w:cs="Times New Roman"/>
          <w:lang w:val="es-BO"/>
        </w:rPr>
        <w:t>.</w:t>
      </w:r>
      <w:r w:rsidR="00122E31" w:rsidRPr="00FD1DC0">
        <w:rPr>
          <w:rFonts w:ascii="Times New Roman" w:hAnsi="Times New Roman" w:cs="Times New Roman"/>
          <w:lang w:val="es-BO"/>
        </w:rPr>
        <w:t xml:space="preserve"> </w:t>
      </w:r>
    </w:p>
    <w:p w14:paraId="24DE62B6" w14:textId="77777777" w:rsidR="00CF0A45" w:rsidRPr="00FD1DC0" w:rsidRDefault="00E9600B" w:rsidP="00482674">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Al mismo tiempo dentro de los factores comunes se puede advertir que </w:t>
      </w:r>
      <w:r w:rsidR="00122E31" w:rsidRPr="00FD1DC0">
        <w:rPr>
          <w:rFonts w:ascii="Times New Roman" w:hAnsi="Times New Roman" w:cs="Times New Roman"/>
          <w:lang w:val="es-BO"/>
        </w:rPr>
        <w:t>los dos primeros rezagos de la variable explicada resultan</w:t>
      </w:r>
      <w:r w:rsidRPr="00FD1DC0">
        <w:rPr>
          <w:rFonts w:ascii="Times New Roman" w:hAnsi="Times New Roman" w:cs="Times New Roman"/>
          <w:lang w:val="es-BO"/>
        </w:rPr>
        <w:t xml:space="preserve"> </w:t>
      </w:r>
      <w:r w:rsidR="00122E31" w:rsidRPr="00FD1DC0">
        <w:rPr>
          <w:rFonts w:ascii="Times New Roman" w:hAnsi="Times New Roman" w:cs="Times New Roman"/>
          <w:lang w:val="es-BO"/>
        </w:rPr>
        <w:t>significativos</w:t>
      </w:r>
      <w:r w:rsidRPr="00FD1DC0">
        <w:rPr>
          <w:rFonts w:ascii="Times New Roman" w:hAnsi="Times New Roman" w:cs="Times New Roman"/>
          <w:lang w:val="es-BO"/>
        </w:rPr>
        <w:t xml:space="preserve"> al 1%</w:t>
      </w:r>
      <w:r w:rsidR="0092734E" w:rsidRPr="00FD1DC0">
        <w:rPr>
          <w:rFonts w:ascii="Times New Roman" w:hAnsi="Times New Roman" w:cs="Times New Roman"/>
          <w:lang w:val="es-BO"/>
        </w:rPr>
        <w:t>, cumpliéndose la hipótesis de inercia a través del tiempo</w:t>
      </w:r>
      <w:r w:rsidRPr="00FD1DC0">
        <w:rPr>
          <w:rFonts w:ascii="Times New Roman" w:hAnsi="Times New Roman" w:cs="Times New Roman"/>
          <w:lang w:val="es-BO"/>
        </w:rPr>
        <w:t xml:space="preserve">. </w:t>
      </w:r>
      <w:r w:rsidR="00377677" w:rsidRPr="00FD1DC0">
        <w:rPr>
          <w:rFonts w:ascii="Times New Roman" w:hAnsi="Times New Roman" w:cs="Times New Roman"/>
          <w:lang w:val="es-BO"/>
        </w:rPr>
        <w:t>Asimismo,</w:t>
      </w:r>
      <w:r w:rsidRPr="00FD1DC0">
        <w:rPr>
          <w:rFonts w:ascii="Times New Roman" w:hAnsi="Times New Roman" w:cs="Times New Roman"/>
          <w:lang w:val="es-BO"/>
        </w:rPr>
        <w:t xml:space="preserve"> como dijimos en un principio la varianza de los residuos que cambia entre estados de alta y baja volatilidad resulta significativa al 1 por ciento lo que es sinónimo de un cambio de régimen significativo y al mismo tiempo avalaría también la ejecución de un modelo con cambio de régimen (</w:t>
      </w:r>
      <w:r w:rsidRPr="00FD1DC0">
        <w:rPr>
          <w:rFonts w:ascii="Times New Roman" w:hAnsi="Times New Roman" w:cs="Times New Roman"/>
          <w:i/>
          <w:lang w:val="es-BO"/>
        </w:rPr>
        <w:t>Markov Switching Regresión Model</w:t>
      </w:r>
      <w:r w:rsidRPr="00FD1DC0">
        <w:rPr>
          <w:rFonts w:ascii="Times New Roman" w:hAnsi="Times New Roman" w:cs="Times New Roman"/>
          <w:lang w:val="es-BO"/>
        </w:rPr>
        <w:t xml:space="preserve">). </w:t>
      </w:r>
    </w:p>
    <w:p w14:paraId="010F66CD" w14:textId="609A91F6" w:rsidR="00EA33AD" w:rsidRPr="00FD1DC0" w:rsidRDefault="00E9600B" w:rsidP="00482674">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En esa misma línea, </w:t>
      </w:r>
      <w:r w:rsidR="0092734E" w:rsidRPr="00FD1DC0">
        <w:rPr>
          <w:rFonts w:ascii="Times New Roman" w:hAnsi="Times New Roman" w:cs="Times New Roman"/>
          <w:lang w:val="es-BO"/>
        </w:rPr>
        <w:t xml:space="preserve">en ambos países en el periodo considerado de la aplicación de metas de inflación para el logro de la misma un aumento de las siguientes variables: la tasa de interés de política monetaria, reservas internacionales, deuda interna y el hecho de haber aplicado un esquema de objetivos de inflación </w:t>
      </w:r>
      <w:r w:rsidR="0092734E" w:rsidRPr="00FD1DC0">
        <w:rPr>
          <w:rFonts w:ascii="Times New Roman" w:hAnsi="Times New Roman" w:cs="Times New Roman"/>
          <w:i/>
          <w:lang w:val="es-BO"/>
        </w:rPr>
        <w:t>Dummy de ROI</w:t>
      </w:r>
      <w:r w:rsidR="0092734E" w:rsidRPr="00FD1DC0">
        <w:rPr>
          <w:rFonts w:ascii="Times New Roman" w:hAnsi="Times New Roman" w:cs="Times New Roman"/>
          <w:lang w:val="es-BO"/>
        </w:rPr>
        <w:t xml:space="preserve"> si bien se logro el cumplimento de tasas de inflación bajas y estables entorno a su meta (México y Brasil), la misma fue a costa de una mayor intervención en los mercados cambiarios, no pudiéndose evitar la apreciación del tipo de cambio real. Asimismo, para un nivel de significancia del 1% el hecho de mantener bajas tasas de inflación y la contracción del crédito interno neto, también no habría podido evitar la mayor apreciación del tipo de cambio real, por otro lado, como el coeficiente de la </w:t>
      </w:r>
      <w:r w:rsidR="0092734E" w:rsidRPr="00FD1DC0">
        <w:rPr>
          <w:rFonts w:ascii="Times New Roman" w:hAnsi="Times New Roman" w:cs="Times New Roman"/>
          <w:i/>
          <w:lang w:val="es-BO"/>
        </w:rPr>
        <w:t>dummy de tendencia</w:t>
      </w:r>
      <w:r w:rsidR="0092734E" w:rsidRPr="00FD1DC0">
        <w:rPr>
          <w:rFonts w:ascii="Times New Roman" w:hAnsi="Times New Roman" w:cs="Times New Roman"/>
          <w:lang w:val="es-BO"/>
        </w:rPr>
        <w:t xml:space="preserve"> en los modelos de las familias </w:t>
      </w:r>
      <w:r w:rsidR="0092734E" w:rsidRPr="00FD1DC0">
        <w:rPr>
          <w:rFonts w:ascii="Times New Roman" w:hAnsi="Times New Roman" w:cs="Times New Roman"/>
          <w:i/>
          <w:lang w:val="es-BO"/>
        </w:rPr>
        <w:t xml:space="preserve">EGarch </w:t>
      </w:r>
      <w:r w:rsidR="0092734E" w:rsidRPr="00FD1DC0">
        <w:rPr>
          <w:rFonts w:ascii="Times New Roman" w:hAnsi="Times New Roman" w:cs="Times New Roman"/>
          <w:lang w:val="es-BO"/>
        </w:rPr>
        <w:t>presentan un signo negativo y además significativo, afirmaría que la volatilidad del tipo de cambio real se habría mantenido estable con tendencia leve a la baja, demostrando así por otro lado la presencia aun del denominado miedo a flotar en ambos países.</w:t>
      </w:r>
    </w:p>
    <w:p w14:paraId="7CD26578" w14:textId="77777777" w:rsidR="008A4B9A" w:rsidRPr="00FD1DC0" w:rsidRDefault="00E9600B" w:rsidP="00482674">
      <w:pPr>
        <w:autoSpaceDE w:val="0"/>
        <w:autoSpaceDN w:val="0"/>
        <w:adjustRightInd w:val="0"/>
        <w:spacing w:after="0" w:line="240" w:lineRule="auto"/>
        <w:ind w:firstLine="709"/>
        <w:jc w:val="center"/>
        <w:rPr>
          <w:rFonts w:ascii="Times New Roman" w:eastAsia="Times New Roman" w:hAnsi="Times New Roman" w:cs="Times New Roman"/>
          <w:b/>
          <w:color w:val="auto"/>
          <w:szCs w:val="24"/>
          <w:lang w:val="es-ES" w:eastAsia="es-ES"/>
        </w:rPr>
      </w:pPr>
      <w:r w:rsidRPr="00FD1DC0">
        <w:rPr>
          <w:rFonts w:ascii="Times New Roman" w:hAnsi="Times New Roman" w:cs="Times New Roman"/>
          <w:lang w:val="es-BO"/>
        </w:rPr>
        <w:t xml:space="preserve"> </w:t>
      </w:r>
      <w:r w:rsidR="008A4B9A" w:rsidRPr="00FD1DC0">
        <w:rPr>
          <w:rFonts w:ascii="Times New Roman" w:eastAsia="Times New Roman" w:hAnsi="Times New Roman" w:cs="Times New Roman"/>
          <w:b/>
          <w:color w:val="auto"/>
          <w:szCs w:val="24"/>
          <w:lang w:val="es-ES" w:eastAsia="es-ES"/>
        </w:rPr>
        <w:t>Cuadro 8</w:t>
      </w:r>
    </w:p>
    <w:p w14:paraId="2E8B9AAA" w14:textId="77777777" w:rsidR="008A4B9A" w:rsidRPr="00FD1DC0" w:rsidRDefault="008A4B9A" w:rsidP="00482674">
      <w:pPr>
        <w:autoSpaceDE w:val="0"/>
        <w:autoSpaceDN w:val="0"/>
        <w:adjustRightInd w:val="0"/>
        <w:spacing w:after="0" w:line="240" w:lineRule="auto"/>
        <w:ind w:left="0" w:right="0" w:firstLine="0"/>
        <w:jc w:val="center"/>
        <w:rPr>
          <w:rFonts w:ascii="Times New Roman" w:eastAsia="Times New Roman" w:hAnsi="Times New Roman" w:cs="Times New Roman"/>
          <w:b/>
          <w:bCs/>
          <w:color w:val="auto"/>
          <w:szCs w:val="24"/>
          <w:lang w:val="es-ES" w:eastAsia="es-ES"/>
        </w:rPr>
      </w:pPr>
      <w:r w:rsidRPr="00FD1DC0">
        <w:rPr>
          <w:rFonts w:ascii="Times New Roman" w:eastAsia="Times New Roman" w:hAnsi="Times New Roman" w:cs="Times New Roman"/>
          <w:b/>
          <w:bCs/>
          <w:color w:val="auto"/>
          <w:szCs w:val="24"/>
          <w:lang w:val="es-ES" w:eastAsia="es-ES"/>
        </w:rPr>
        <w:t>Matriz de probabilidades de transición</w:t>
      </w:r>
    </w:p>
    <w:tbl>
      <w:tblPr>
        <w:tblW w:w="9090" w:type="dxa"/>
        <w:jc w:val="center"/>
        <w:tblLayout w:type="fixed"/>
        <w:tblCellMar>
          <w:left w:w="0" w:type="dxa"/>
          <w:right w:w="0" w:type="dxa"/>
        </w:tblCellMar>
        <w:tblLook w:val="04A0" w:firstRow="1" w:lastRow="0" w:firstColumn="1" w:lastColumn="0" w:noHBand="0" w:noVBand="1"/>
      </w:tblPr>
      <w:tblGrid>
        <w:gridCol w:w="998"/>
        <w:gridCol w:w="998"/>
        <w:gridCol w:w="1418"/>
        <w:gridCol w:w="1419"/>
        <w:gridCol w:w="1419"/>
        <w:gridCol w:w="1419"/>
        <w:gridCol w:w="1419"/>
      </w:tblGrid>
      <w:tr w:rsidR="008A4B9A" w:rsidRPr="00FD1DC0" w14:paraId="2A2D9468" w14:textId="77777777" w:rsidTr="00E415A5">
        <w:trPr>
          <w:trHeight w:val="225"/>
          <w:jc w:val="center"/>
        </w:trPr>
        <w:tc>
          <w:tcPr>
            <w:tcW w:w="998" w:type="dxa"/>
            <w:tcBorders>
              <w:top w:val="nil"/>
              <w:left w:val="nil"/>
              <w:bottom w:val="single" w:sz="6" w:space="0" w:color="auto"/>
              <w:right w:val="single" w:sz="6" w:space="0" w:color="auto"/>
            </w:tcBorders>
          </w:tcPr>
          <w:p w14:paraId="3CB93F2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p>
        </w:tc>
        <w:tc>
          <w:tcPr>
            <w:tcW w:w="8092" w:type="dxa"/>
            <w:gridSpan w:val="6"/>
            <w:tcBorders>
              <w:top w:val="nil"/>
              <w:left w:val="nil"/>
              <w:bottom w:val="single" w:sz="6" w:space="0" w:color="auto"/>
              <w:right w:val="single" w:sz="6" w:space="0" w:color="auto"/>
            </w:tcBorders>
            <w:vAlign w:val="bottom"/>
            <w:hideMark/>
          </w:tcPr>
          <w:p w14:paraId="29B89B61" w14:textId="77777777" w:rsidR="008A4B9A" w:rsidRPr="00FD1DC0" w:rsidRDefault="008A4B9A" w:rsidP="008A4B9A">
            <w:pPr>
              <w:autoSpaceDE w:val="0"/>
              <w:autoSpaceDN w:val="0"/>
              <w:adjustRightInd w:val="0"/>
              <w:spacing w:after="0" w:line="240" w:lineRule="auto"/>
              <w:ind w:left="0" w:right="0" w:firstLine="0"/>
              <w:jc w:val="left"/>
              <w:rPr>
                <w:rFonts w:ascii="Symbol" w:eastAsia="Times New Roman" w:hAnsi="Symbol" w:cs="Times New Roman"/>
                <w:b/>
                <w:bCs/>
                <w:i/>
                <w:color w:val="auto"/>
                <w:szCs w:val="24"/>
                <w:lang w:val="es-ES" w:eastAsia="es-ES"/>
              </w:rPr>
            </w:pPr>
            <w:r w:rsidRPr="00FD1DC0">
              <w:rPr>
                <w:rFonts w:eastAsia="Times New Roman"/>
                <w:b/>
                <w:sz w:val="18"/>
                <w:szCs w:val="18"/>
                <w:lang w:val="es-ES" w:eastAsia="es-ES"/>
              </w:rPr>
              <w:t xml:space="preserve">                                                t                                                                                     t</w:t>
            </w:r>
          </w:p>
        </w:tc>
      </w:tr>
      <w:tr w:rsidR="008A4B9A" w:rsidRPr="00FD1DC0" w14:paraId="2E088AAB" w14:textId="77777777" w:rsidTr="00E415A5">
        <w:trPr>
          <w:trHeight w:val="225"/>
          <w:jc w:val="center"/>
        </w:trPr>
        <w:tc>
          <w:tcPr>
            <w:tcW w:w="998" w:type="dxa"/>
            <w:vMerge w:val="restart"/>
            <w:tcBorders>
              <w:top w:val="nil"/>
              <w:left w:val="nil"/>
              <w:bottom w:val="nil"/>
              <w:right w:val="single" w:sz="6" w:space="0" w:color="auto"/>
            </w:tcBorders>
          </w:tcPr>
          <w:p w14:paraId="31A32E2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sz w:val="18"/>
                <w:szCs w:val="18"/>
                <w:lang w:val="es-ES" w:eastAsia="es-ES"/>
              </w:rPr>
            </w:pPr>
          </w:p>
          <w:p w14:paraId="5C2E55DF"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sz w:val="18"/>
                <w:szCs w:val="18"/>
                <w:lang w:val="es-ES" w:eastAsia="es-ES"/>
              </w:rPr>
            </w:pPr>
          </w:p>
          <w:p w14:paraId="78A145B1"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sz w:val="18"/>
                <w:szCs w:val="18"/>
                <w:lang w:val="es-ES" w:eastAsia="es-ES"/>
              </w:rPr>
            </w:pPr>
          </w:p>
          <w:p w14:paraId="5DFB96E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sz w:val="18"/>
                <w:szCs w:val="18"/>
                <w:lang w:val="es-ES" w:eastAsia="es-ES"/>
              </w:rPr>
            </w:pPr>
            <w:r w:rsidRPr="00FD1DC0">
              <w:rPr>
                <w:rFonts w:eastAsia="Times New Roman"/>
                <w:b/>
                <w:sz w:val="18"/>
                <w:szCs w:val="18"/>
                <w:lang w:val="es-ES" w:eastAsia="es-ES"/>
              </w:rPr>
              <w:t>t-1</w:t>
            </w:r>
          </w:p>
        </w:tc>
        <w:tc>
          <w:tcPr>
            <w:tcW w:w="998" w:type="dxa"/>
            <w:tcBorders>
              <w:top w:val="nil"/>
              <w:left w:val="nil"/>
              <w:bottom w:val="single" w:sz="6" w:space="0" w:color="auto"/>
              <w:right w:val="single" w:sz="6" w:space="0" w:color="auto"/>
            </w:tcBorders>
            <w:vAlign w:val="bottom"/>
            <w:hideMark/>
          </w:tcPr>
          <w:p w14:paraId="17D902A6"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sz w:val="18"/>
                <w:szCs w:val="18"/>
                <w:lang w:val="es-ES" w:eastAsia="es-ES"/>
              </w:rPr>
            </w:pPr>
            <w:r w:rsidRPr="00FD1DC0">
              <w:rPr>
                <w:rFonts w:eastAsia="Times New Roman"/>
                <w:b/>
                <w:sz w:val="18"/>
                <w:szCs w:val="18"/>
                <w:lang w:val="es-ES" w:eastAsia="es-ES"/>
              </w:rPr>
              <w:t>México</w:t>
            </w:r>
          </w:p>
        </w:tc>
        <w:tc>
          <w:tcPr>
            <w:tcW w:w="1418" w:type="dxa"/>
            <w:tcBorders>
              <w:top w:val="nil"/>
              <w:left w:val="single" w:sz="6" w:space="0" w:color="auto"/>
              <w:bottom w:val="single" w:sz="6" w:space="0" w:color="auto"/>
              <w:right w:val="nil"/>
            </w:tcBorders>
            <w:vAlign w:val="bottom"/>
            <w:hideMark/>
          </w:tcPr>
          <w:p w14:paraId="7B474EE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baja</w:t>
            </w:r>
          </w:p>
        </w:tc>
        <w:tc>
          <w:tcPr>
            <w:tcW w:w="1419" w:type="dxa"/>
            <w:tcBorders>
              <w:top w:val="nil"/>
              <w:left w:val="nil"/>
              <w:bottom w:val="single" w:sz="6" w:space="0" w:color="auto"/>
              <w:right w:val="nil"/>
            </w:tcBorders>
            <w:vAlign w:val="bottom"/>
            <w:hideMark/>
          </w:tcPr>
          <w:p w14:paraId="79AAE163"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alta</w:t>
            </w:r>
          </w:p>
        </w:tc>
        <w:tc>
          <w:tcPr>
            <w:tcW w:w="1419" w:type="dxa"/>
            <w:tcBorders>
              <w:top w:val="nil"/>
              <w:left w:val="nil"/>
              <w:bottom w:val="single" w:sz="6" w:space="0" w:color="auto"/>
              <w:right w:val="nil"/>
            </w:tcBorders>
          </w:tcPr>
          <w:p w14:paraId="2B957B5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bCs/>
                <w:color w:val="auto"/>
                <w:sz w:val="18"/>
                <w:szCs w:val="18"/>
                <w:lang w:val="es-ES" w:eastAsia="es-ES"/>
              </w:rPr>
            </w:pPr>
          </w:p>
          <w:p w14:paraId="20A9937F" w14:textId="77777777" w:rsidR="008A4B9A" w:rsidRPr="00FD1DC0" w:rsidRDefault="008A4B9A" w:rsidP="008A4B9A">
            <w:pPr>
              <w:autoSpaceDE w:val="0"/>
              <w:autoSpaceDN w:val="0"/>
              <w:adjustRightInd w:val="0"/>
              <w:spacing w:after="0" w:line="240" w:lineRule="auto"/>
              <w:ind w:left="0" w:right="0" w:firstLine="0"/>
              <w:jc w:val="center"/>
              <w:rPr>
                <w:rFonts w:eastAsia="Times New Roman"/>
                <w:b/>
                <w:bCs/>
                <w:color w:val="auto"/>
                <w:sz w:val="18"/>
                <w:szCs w:val="18"/>
                <w:lang w:val="es-ES" w:eastAsia="es-ES"/>
              </w:rPr>
            </w:pPr>
            <w:r w:rsidRPr="00FD1DC0">
              <w:rPr>
                <w:rFonts w:eastAsia="Times New Roman"/>
                <w:b/>
                <w:bCs/>
                <w:color w:val="auto"/>
                <w:sz w:val="18"/>
                <w:szCs w:val="18"/>
                <w:lang w:val="es-ES" w:eastAsia="es-ES"/>
              </w:rPr>
              <w:t>Brasil</w:t>
            </w:r>
          </w:p>
        </w:tc>
        <w:tc>
          <w:tcPr>
            <w:tcW w:w="1419" w:type="dxa"/>
            <w:tcBorders>
              <w:top w:val="nil"/>
              <w:left w:val="nil"/>
              <w:bottom w:val="single" w:sz="6" w:space="0" w:color="auto"/>
              <w:right w:val="nil"/>
            </w:tcBorders>
            <w:vAlign w:val="bottom"/>
            <w:hideMark/>
          </w:tcPr>
          <w:p w14:paraId="248C2F47"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baja</w:t>
            </w:r>
          </w:p>
        </w:tc>
        <w:tc>
          <w:tcPr>
            <w:tcW w:w="1419" w:type="dxa"/>
            <w:tcBorders>
              <w:top w:val="nil"/>
              <w:left w:val="nil"/>
              <w:bottom w:val="single" w:sz="6" w:space="0" w:color="auto"/>
              <w:right w:val="nil"/>
            </w:tcBorders>
            <w:vAlign w:val="bottom"/>
            <w:hideMark/>
          </w:tcPr>
          <w:p w14:paraId="30FE7CDA"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alta</w:t>
            </w:r>
          </w:p>
        </w:tc>
      </w:tr>
      <w:tr w:rsidR="008A4B9A" w:rsidRPr="00FD1DC0" w14:paraId="765CB028" w14:textId="77777777" w:rsidTr="00E415A5">
        <w:trPr>
          <w:trHeight w:val="225"/>
          <w:jc w:val="center"/>
        </w:trPr>
        <w:tc>
          <w:tcPr>
            <w:tcW w:w="998" w:type="dxa"/>
            <w:vMerge/>
            <w:tcBorders>
              <w:top w:val="nil"/>
              <w:left w:val="nil"/>
              <w:bottom w:val="nil"/>
              <w:right w:val="single" w:sz="6" w:space="0" w:color="auto"/>
            </w:tcBorders>
            <w:vAlign w:val="center"/>
            <w:hideMark/>
          </w:tcPr>
          <w:p w14:paraId="18BC82F0" w14:textId="77777777" w:rsidR="008A4B9A" w:rsidRPr="00FD1DC0" w:rsidRDefault="008A4B9A" w:rsidP="008A4B9A">
            <w:pPr>
              <w:spacing w:after="0" w:line="240" w:lineRule="auto"/>
              <w:ind w:left="0" w:right="0" w:firstLine="0"/>
              <w:jc w:val="left"/>
              <w:rPr>
                <w:rFonts w:eastAsia="Times New Roman"/>
                <w:b/>
                <w:sz w:val="18"/>
                <w:szCs w:val="18"/>
                <w:lang w:val="es-ES" w:eastAsia="es-ES"/>
              </w:rPr>
            </w:pPr>
          </w:p>
        </w:tc>
        <w:tc>
          <w:tcPr>
            <w:tcW w:w="998" w:type="dxa"/>
            <w:tcBorders>
              <w:top w:val="single" w:sz="6" w:space="0" w:color="auto"/>
              <w:left w:val="nil"/>
              <w:bottom w:val="nil"/>
              <w:right w:val="single" w:sz="6" w:space="0" w:color="auto"/>
            </w:tcBorders>
            <w:vAlign w:val="bottom"/>
            <w:hideMark/>
          </w:tcPr>
          <w:p w14:paraId="12F7E93D"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eastAsia="Times New Roman"/>
                <w:sz w:val="18"/>
                <w:szCs w:val="18"/>
                <w:lang w:val="es-ES" w:eastAsia="es-ES"/>
              </w:rPr>
              <w:t> </w:t>
            </w: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baja</w:t>
            </w:r>
          </w:p>
        </w:tc>
        <w:tc>
          <w:tcPr>
            <w:tcW w:w="1418" w:type="dxa"/>
            <w:tcBorders>
              <w:top w:val="single" w:sz="6" w:space="0" w:color="auto"/>
              <w:left w:val="single" w:sz="6" w:space="0" w:color="auto"/>
              <w:bottom w:val="nil"/>
              <w:right w:val="nil"/>
            </w:tcBorders>
            <w:vAlign w:val="bottom"/>
            <w:hideMark/>
          </w:tcPr>
          <w:p w14:paraId="4BBB778A" w14:textId="0054678D"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eastAsia="es-ES"/>
              </w:rPr>
              <w:t>0.85723</w:t>
            </w:r>
          </w:p>
        </w:tc>
        <w:tc>
          <w:tcPr>
            <w:tcW w:w="1419" w:type="dxa"/>
            <w:tcBorders>
              <w:top w:val="single" w:sz="6" w:space="0" w:color="auto"/>
              <w:left w:val="nil"/>
              <w:bottom w:val="nil"/>
              <w:right w:val="nil"/>
            </w:tcBorders>
            <w:vAlign w:val="bottom"/>
            <w:hideMark/>
          </w:tcPr>
          <w:p w14:paraId="71E5D3AE" w14:textId="72F28F8A" w:rsidR="008A4B9A" w:rsidRPr="00FD1DC0" w:rsidRDefault="006B0CE3" w:rsidP="008A4B9A">
            <w:pPr>
              <w:autoSpaceDE w:val="0"/>
              <w:autoSpaceDN w:val="0"/>
              <w:adjustRightInd w:val="0"/>
              <w:spacing w:after="0" w:line="240" w:lineRule="auto"/>
              <w:ind w:left="0" w:right="10" w:firstLine="0"/>
              <w:jc w:val="center"/>
              <w:rPr>
                <w:rFonts w:eastAsia="Times New Roman"/>
                <w:color w:val="auto"/>
                <w:sz w:val="18"/>
                <w:szCs w:val="18"/>
                <w:lang w:eastAsia="es-ES"/>
              </w:rPr>
            </w:pPr>
            <w:r w:rsidRPr="00FD1DC0">
              <w:rPr>
                <w:rFonts w:eastAsia="Times New Roman"/>
                <w:color w:val="auto"/>
                <w:sz w:val="18"/>
                <w:szCs w:val="18"/>
                <w:lang w:eastAsia="es-ES"/>
              </w:rPr>
              <w:t>0.273</w:t>
            </w:r>
            <w:r w:rsidR="001E0C08" w:rsidRPr="00FD1DC0">
              <w:rPr>
                <w:rFonts w:eastAsia="Times New Roman"/>
                <w:color w:val="auto"/>
                <w:sz w:val="18"/>
                <w:szCs w:val="18"/>
                <w:lang w:eastAsia="es-ES"/>
              </w:rPr>
              <w:t>53</w:t>
            </w:r>
          </w:p>
        </w:tc>
        <w:tc>
          <w:tcPr>
            <w:tcW w:w="1419" w:type="dxa"/>
            <w:tcBorders>
              <w:top w:val="single" w:sz="6" w:space="0" w:color="auto"/>
              <w:left w:val="nil"/>
              <w:bottom w:val="nil"/>
              <w:right w:val="nil"/>
            </w:tcBorders>
            <w:vAlign w:val="bottom"/>
            <w:hideMark/>
          </w:tcPr>
          <w:p w14:paraId="18F69F4B"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baja</w:t>
            </w:r>
          </w:p>
        </w:tc>
        <w:tc>
          <w:tcPr>
            <w:tcW w:w="1419" w:type="dxa"/>
            <w:tcBorders>
              <w:top w:val="single" w:sz="6" w:space="0" w:color="auto"/>
              <w:left w:val="nil"/>
              <w:bottom w:val="nil"/>
              <w:right w:val="nil"/>
            </w:tcBorders>
            <w:hideMark/>
          </w:tcPr>
          <w:p w14:paraId="4849B512" w14:textId="06FBF61B" w:rsidR="008A4B9A" w:rsidRPr="00FD1DC0" w:rsidRDefault="00DF0DDE"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eastAsia="es-ES"/>
              </w:rPr>
              <w:t>0.8512</w:t>
            </w:r>
            <w:r w:rsidR="006B0CE3" w:rsidRPr="00FD1DC0">
              <w:rPr>
                <w:rFonts w:eastAsia="Times New Roman"/>
                <w:color w:val="auto"/>
                <w:sz w:val="18"/>
                <w:szCs w:val="18"/>
                <w:lang w:eastAsia="es-ES"/>
              </w:rPr>
              <w:t>5</w:t>
            </w:r>
          </w:p>
        </w:tc>
        <w:tc>
          <w:tcPr>
            <w:tcW w:w="1419" w:type="dxa"/>
            <w:tcBorders>
              <w:top w:val="single" w:sz="6" w:space="0" w:color="auto"/>
              <w:left w:val="nil"/>
              <w:bottom w:val="nil"/>
              <w:right w:val="nil"/>
            </w:tcBorders>
            <w:hideMark/>
          </w:tcPr>
          <w:p w14:paraId="4EB44F8D" w14:textId="0E9BEF5D"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eastAsia="es-ES"/>
              </w:rPr>
              <w:t>0.254</w:t>
            </w:r>
            <w:r w:rsidR="001E0C08" w:rsidRPr="00FD1DC0">
              <w:rPr>
                <w:rFonts w:eastAsia="Times New Roman"/>
                <w:color w:val="auto"/>
                <w:sz w:val="18"/>
                <w:szCs w:val="18"/>
                <w:lang w:eastAsia="es-ES"/>
              </w:rPr>
              <w:t>54</w:t>
            </w:r>
          </w:p>
        </w:tc>
      </w:tr>
      <w:tr w:rsidR="008A4B9A" w:rsidRPr="00FD1DC0" w14:paraId="0EE2E1A8" w14:textId="77777777" w:rsidTr="00E415A5">
        <w:trPr>
          <w:trHeight w:val="225"/>
          <w:jc w:val="center"/>
        </w:trPr>
        <w:tc>
          <w:tcPr>
            <w:tcW w:w="998" w:type="dxa"/>
            <w:vMerge/>
            <w:tcBorders>
              <w:top w:val="nil"/>
              <w:left w:val="nil"/>
              <w:bottom w:val="nil"/>
              <w:right w:val="single" w:sz="6" w:space="0" w:color="auto"/>
            </w:tcBorders>
            <w:vAlign w:val="center"/>
            <w:hideMark/>
          </w:tcPr>
          <w:p w14:paraId="5CDEE9DD" w14:textId="77777777" w:rsidR="008A4B9A" w:rsidRPr="00FD1DC0" w:rsidRDefault="008A4B9A" w:rsidP="008A4B9A">
            <w:pPr>
              <w:spacing w:after="0" w:line="240" w:lineRule="auto"/>
              <w:ind w:left="0" w:right="0" w:firstLine="0"/>
              <w:jc w:val="left"/>
              <w:rPr>
                <w:rFonts w:eastAsia="Times New Roman"/>
                <w:b/>
                <w:sz w:val="18"/>
                <w:szCs w:val="18"/>
                <w:lang w:val="es-ES" w:eastAsia="es-ES"/>
              </w:rPr>
            </w:pPr>
          </w:p>
        </w:tc>
        <w:tc>
          <w:tcPr>
            <w:tcW w:w="998" w:type="dxa"/>
            <w:tcBorders>
              <w:top w:val="nil"/>
              <w:left w:val="nil"/>
              <w:bottom w:val="nil"/>
              <w:right w:val="single" w:sz="6" w:space="0" w:color="auto"/>
            </w:tcBorders>
            <w:vAlign w:val="bottom"/>
            <w:hideMark/>
          </w:tcPr>
          <w:p w14:paraId="6EBE9C86"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alta</w:t>
            </w:r>
          </w:p>
        </w:tc>
        <w:tc>
          <w:tcPr>
            <w:tcW w:w="1418" w:type="dxa"/>
            <w:tcBorders>
              <w:top w:val="nil"/>
              <w:left w:val="single" w:sz="6" w:space="0" w:color="auto"/>
              <w:bottom w:val="nil"/>
              <w:right w:val="nil"/>
            </w:tcBorders>
            <w:vAlign w:val="bottom"/>
            <w:hideMark/>
          </w:tcPr>
          <w:p w14:paraId="2187A755" w14:textId="4794128D"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val="fr-FR" w:eastAsia="es-ES"/>
              </w:rPr>
              <w:t>0.634</w:t>
            </w:r>
            <w:r w:rsidR="001E0C08" w:rsidRPr="00FD1DC0">
              <w:rPr>
                <w:rFonts w:eastAsia="Times New Roman"/>
                <w:color w:val="auto"/>
                <w:sz w:val="18"/>
                <w:szCs w:val="18"/>
                <w:lang w:val="fr-FR" w:eastAsia="es-ES"/>
              </w:rPr>
              <w:t>54</w:t>
            </w:r>
          </w:p>
        </w:tc>
        <w:tc>
          <w:tcPr>
            <w:tcW w:w="1419" w:type="dxa"/>
            <w:vAlign w:val="bottom"/>
            <w:hideMark/>
          </w:tcPr>
          <w:p w14:paraId="6C2B3C05" w14:textId="20D25B49"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val="fr-FR" w:eastAsia="es-ES"/>
              </w:rPr>
              <w:t>0.5652</w:t>
            </w:r>
            <w:r w:rsidR="001E0C08" w:rsidRPr="00FD1DC0">
              <w:rPr>
                <w:rFonts w:eastAsia="Times New Roman"/>
                <w:color w:val="auto"/>
                <w:sz w:val="18"/>
                <w:szCs w:val="18"/>
                <w:lang w:val="fr-FR" w:eastAsia="es-ES"/>
              </w:rPr>
              <w:t>3</w:t>
            </w:r>
          </w:p>
        </w:tc>
        <w:tc>
          <w:tcPr>
            <w:tcW w:w="1419" w:type="dxa"/>
            <w:vAlign w:val="bottom"/>
            <w:hideMark/>
          </w:tcPr>
          <w:p w14:paraId="51AA8B58" w14:textId="77777777" w:rsidR="008A4B9A" w:rsidRPr="00FD1DC0" w:rsidRDefault="008A4B9A" w:rsidP="008A4B9A">
            <w:pPr>
              <w:autoSpaceDE w:val="0"/>
              <w:autoSpaceDN w:val="0"/>
              <w:adjustRightInd w:val="0"/>
              <w:spacing w:after="0" w:line="240" w:lineRule="auto"/>
              <w:ind w:left="0" w:right="0" w:firstLine="0"/>
              <w:jc w:val="center"/>
              <w:rPr>
                <w:rFonts w:eastAsia="Times New Roman"/>
                <w:sz w:val="18"/>
                <w:szCs w:val="18"/>
                <w:lang w:val="es-ES" w:eastAsia="es-ES"/>
              </w:rPr>
            </w:pPr>
            <w:r w:rsidRPr="00FD1DC0">
              <w:rPr>
                <w:rFonts w:ascii="Symbol" w:eastAsia="Times New Roman" w:hAnsi="Symbol" w:cs="Times New Roman"/>
                <w:bCs/>
                <w:i/>
                <w:color w:val="auto"/>
                <w:szCs w:val="24"/>
                <w:lang w:val="es-ES" w:eastAsia="es-ES"/>
              </w:rPr>
              <w:t></w:t>
            </w:r>
            <w:r w:rsidRPr="00FD1DC0">
              <w:rPr>
                <w:rFonts w:eastAsia="Times New Roman"/>
                <w:sz w:val="18"/>
                <w:szCs w:val="18"/>
                <w:vertAlign w:val="subscript"/>
                <w:lang w:val="es-ES" w:eastAsia="es-ES"/>
              </w:rPr>
              <w:t>alta</w:t>
            </w:r>
          </w:p>
        </w:tc>
        <w:tc>
          <w:tcPr>
            <w:tcW w:w="1419" w:type="dxa"/>
            <w:hideMark/>
          </w:tcPr>
          <w:p w14:paraId="16B08ECE" w14:textId="7846CACD"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val="fr-FR" w:eastAsia="es-ES"/>
              </w:rPr>
              <w:t>0.645</w:t>
            </w:r>
            <w:r w:rsidR="001E0C08" w:rsidRPr="00FD1DC0">
              <w:rPr>
                <w:rFonts w:eastAsia="Times New Roman"/>
                <w:color w:val="auto"/>
                <w:sz w:val="18"/>
                <w:szCs w:val="18"/>
                <w:lang w:val="fr-FR" w:eastAsia="es-ES"/>
              </w:rPr>
              <w:t>43</w:t>
            </w:r>
          </w:p>
        </w:tc>
        <w:tc>
          <w:tcPr>
            <w:tcW w:w="1419" w:type="dxa"/>
            <w:hideMark/>
          </w:tcPr>
          <w:p w14:paraId="0E633487" w14:textId="73DD48EA" w:rsidR="008A4B9A" w:rsidRPr="00FD1DC0" w:rsidRDefault="006B0CE3"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color w:val="auto"/>
                <w:sz w:val="18"/>
                <w:szCs w:val="18"/>
                <w:lang w:val="fr-FR" w:eastAsia="es-ES"/>
              </w:rPr>
              <w:t>0.64532</w:t>
            </w:r>
          </w:p>
        </w:tc>
      </w:tr>
    </w:tbl>
    <w:p w14:paraId="4A165D25" w14:textId="5D8DE147" w:rsidR="00492148" w:rsidRPr="00FD1DC0" w:rsidRDefault="00E415A5" w:rsidP="00D80949">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6B21B02D" w14:textId="77777777" w:rsidR="00FF5A55" w:rsidRDefault="00FF5A55" w:rsidP="008A4B9A">
      <w:pPr>
        <w:autoSpaceDE w:val="0"/>
        <w:autoSpaceDN w:val="0"/>
        <w:adjustRightInd w:val="0"/>
        <w:spacing w:after="0" w:line="240" w:lineRule="auto"/>
        <w:ind w:left="0" w:right="0" w:firstLine="709"/>
        <w:jc w:val="center"/>
        <w:rPr>
          <w:rFonts w:ascii="Times New Roman" w:eastAsia="Times New Roman" w:hAnsi="Times New Roman" w:cs="Times New Roman"/>
          <w:b/>
          <w:color w:val="auto"/>
          <w:szCs w:val="24"/>
          <w:lang w:val="es-ES" w:eastAsia="es-ES"/>
        </w:rPr>
      </w:pPr>
    </w:p>
    <w:p w14:paraId="006069B0" w14:textId="77777777" w:rsidR="00FF5A55" w:rsidRDefault="00FF5A55" w:rsidP="008A4B9A">
      <w:pPr>
        <w:autoSpaceDE w:val="0"/>
        <w:autoSpaceDN w:val="0"/>
        <w:adjustRightInd w:val="0"/>
        <w:spacing w:after="0" w:line="240" w:lineRule="auto"/>
        <w:ind w:left="0" w:right="0" w:firstLine="709"/>
        <w:jc w:val="center"/>
        <w:rPr>
          <w:rFonts w:ascii="Times New Roman" w:eastAsia="Times New Roman" w:hAnsi="Times New Roman" w:cs="Times New Roman"/>
          <w:b/>
          <w:color w:val="auto"/>
          <w:szCs w:val="24"/>
          <w:lang w:val="es-ES" w:eastAsia="es-ES"/>
        </w:rPr>
      </w:pPr>
    </w:p>
    <w:p w14:paraId="29229637" w14:textId="018903B8" w:rsidR="008A4B9A" w:rsidRPr="00FD1DC0" w:rsidRDefault="008A4B9A" w:rsidP="008A4B9A">
      <w:pPr>
        <w:autoSpaceDE w:val="0"/>
        <w:autoSpaceDN w:val="0"/>
        <w:adjustRightInd w:val="0"/>
        <w:spacing w:after="0" w:line="240" w:lineRule="auto"/>
        <w:ind w:left="0" w:right="0" w:firstLine="709"/>
        <w:jc w:val="center"/>
        <w:rPr>
          <w:rFonts w:ascii="Times New Roman" w:eastAsia="Times New Roman" w:hAnsi="Times New Roman" w:cs="Times New Roman"/>
          <w:b/>
          <w:color w:val="auto"/>
          <w:szCs w:val="24"/>
          <w:lang w:val="es-ES" w:eastAsia="es-ES"/>
        </w:rPr>
      </w:pPr>
      <w:r w:rsidRPr="00FD1DC0">
        <w:rPr>
          <w:rFonts w:ascii="Times New Roman" w:eastAsia="Times New Roman" w:hAnsi="Times New Roman" w:cs="Times New Roman"/>
          <w:b/>
          <w:color w:val="auto"/>
          <w:szCs w:val="24"/>
          <w:lang w:val="es-ES" w:eastAsia="es-ES"/>
        </w:rPr>
        <w:t>Cuadro 9</w:t>
      </w:r>
    </w:p>
    <w:p w14:paraId="2EE98928"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color w:val="auto"/>
          <w:szCs w:val="24"/>
          <w:lang w:val="es-ES" w:eastAsia="es-ES"/>
        </w:rPr>
      </w:pPr>
      <w:r w:rsidRPr="00FD1DC0">
        <w:rPr>
          <w:rFonts w:ascii="Times New Roman" w:eastAsia="Times New Roman" w:hAnsi="Times New Roman" w:cs="Times New Roman"/>
          <w:b/>
          <w:bCs/>
          <w:color w:val="auto"/>
          <w:szCs w:val="24"/>
          <w:lang w:val="es-ES" w:eastAsia="es-ES"/>
        </w:rPr>
        <w:t>Duración promedio de cada estado (meses)</w:t>
      </w:r>
    </w:p>
    <w:tbl>
      <w:tblPr>
        <w:tblW w:w="0" w:type="auto"/>
        <w:jc w:val="center"/>
        <w:tblLayout w:type="fixed"/>
        <w:tblCellMar>
          <w:left w:w="0" w:type="dxa"/>
          <w:right w:w="0" w:type="dxa"/>
        </w:tblCellMar>
        <w:tblLook w:val="04A0" w:firstRow="1" w:lastRow="0" w:firstColumn="1" w:lastColumn="0" w:noHBand="0" w:noVBand="1"/>
      </w:tblPr>
      <w:tblGrid>
        <w:gridCol w:w="998"/>
        <w:gridCol w:w="1417"/>
        <w:gridCol w:w="1418"/>
        <w:gridCol w:w="1418"/>
        <w:gridCol w:w="1418"/>
      </w:tblGrid>
      <w:tr w:rsidR="008A4B9A" w:rsidRPr="00FD1DC0" w14:paraId="5B60EFC8" w14:textId="77777777" w:rsidTr="00CB004A">
        <w:trPr>
          <w:trHeight w:val="225"/>
          <w:jc w:val="center"/>
        </w:trPr>
        <w:tc>
          <w:tcPr>
            <w:tcW w:w="998" w:type="dxa"/>
            <w:tcBorders>
              <w:top w:val="nil"/>
              <w:left w:val="nil"/>
              <w:bottom w:val="single" w:sz="6" w:space="0" w:color="auto"/>
              <w:right w:val="single" w:sz="6" w:space="0" w:color="auto"/>
            </w:tcBorders>
            <w:vAlign w:val="bottom"/>
          </w:tcPr>
          <w:p w14:paraId="503FA0D1"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p>
        </w:tc>
        <w:tc>
          <w:tcPr>
            <w:tcW w:w="2835" w:type="dxa"/>
            <w:gridSpan w:val="2"/>
            <w:tcBorders>
              <w:top w:val="nil"/>
              <w:left w:val="single" w:sz="6" w:space="0" w:color="auto"/>
              <w:bottom w:val="single" w:sz="6" w:space="0" w:color="auto"/>
              <w:right w:val="nil"/>
            </w:tcBorders>
            <w:vAlign w:val="bottom"/>
            <w:hideMark/>
          </w:tcPr>
          <w:p w14:paraId="3409513C"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México</w:t>
            </w:r>
          </w:p>
        </w:tc>
        <w:tc>
          <w:tcPr>
            <w:tcW w:w="2836" w:type="dxa"/>
            <w:gridSpan w:val="2"/>
            <w:tcBorders>
              <w:top w:val="nil"/>
              <w:left w:val="nil"/>
              <w:bottom w:val="single" w:sz="6" w:space="0" w:color="auto"/>
              <w:right w:val="nil"/>
            </w:tcBorders>
            <w:hideMark/>
          </w:tcPr>
          <w:p w14:paraId="647E466F"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Brasil</w:t>
            </w:r>
          </w:p>
        </w:tc>
      </w:tr>
      <w:tr w:rsidR="008A4B9A" w:rsidRPr="00FD1DC0" w14:paraId="45878A33" w14:textId="77777777" w:rsidTr="00CB004A">
        <w:trPr>
          <w:trHeight w:val="225"/>
          <w:jc w:val="center"/>
        </w:trPr>
        <w:tc>
          <w:tcPr>
            <w:tcW w:w="998" w:type="dxa"/>
            <w:tcBorders>
              <w:top w:val="nil"/>
              <w:left w:val="nil"/>
              <w:bottom w:val="single" w:sz="6" w:space="0" w:color="auto"/>
              <w:right w:val="single" w:sz="6" w:space="0" w:color="auto"/>
            </w:tcBorders>
            <w:vAlign w:val="bottom"/>
            <w:hideMark/>
          </w:tcPr>
          <w:p w14:paraId="30DBB53B"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Estado</w:t>
            </w:r>
          </w:p>
        </w:tc>
        <w:tc>
          <w:tcPr>
            <w:tcW w:w="1417" w:type="dxa"/>
            <w:tcBorders>
              <w:top w:val="nil"/>
              <w:left w:val="single" w:sz="6" w:space="0" w:color="auto"/>
              <w:bottom w:val="single" w:sz="6" w:space="0" w:color="auto"/>
              <w:right w:val="nil"/>
            </w:tcBorders>
            <w:vAlign w:val="bottom"/>
            <w:hideMark/>
          </w:tcPr>
          <w:p w14:paraId="77C46FA6"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Duración</w:t>
            </w:r>
          </w:p>
          <w:p w14:paraId="45FC1DA1"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bCs/>
                <w:i/>
                <w:color w:val="auto"/>
                <w:sz w:val="18"/>
                <w:szCs w:val="18"/>
                <w:lang w:val="es-ES" w:eastAsia="es-ES"/>
              </w:rPr>
              <w:t>Promedio</w:t>
            </w:r>
          </w:p>
        </w:tc>
        <w:tc>
          <w:tcPr>
            <w:tcW w:w="1418" w:type="dxa"/>
            <w:tcBorders>
              <w:top w:val="nil"/>
              <w:left w:val="nil"/>
              <w:bottom w:val="single" w:sz="6" w:space="0" w:color="auto"/>
              <w:right w:val="nil"/>
            </w:tcBorders>
            <w:vAlign w:val="bottom"/>
            <w:hideMark/>
          </w:tcPr>
          <w:p w14:paraId="740979BC"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Desvío</w:t>
            </w:r>
          </w:p>
          <w:p w14:paraId="2A900FBE"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bCs/>
                <w:i/>
                <w:color w:val="auto"/>
                <w:sz w:val="18"/>
                <w:szCs w:val="18"/>
                <w:lang w:val="es-ES" w:eastAsia="es-ES"/>
              </w:rPr>
              <w:t>Estándar</w:t>
            </w:r>
          </w:p>
        </w:tc>
        <w:tc>
          <w:tcPr>
            <w:tcW w:w="1418" w:type="dxa"/>
            <w:tcBorders>
              <w:top w:val="nil"/>
              <w:left w:val="nil"/>
              <w:bottom w:val="single" w:sz="6" w:space="0" w:color="auto"/>
              <w:right w:val="nil"/>
            </w:tcBorders>
            <w:vAlign w:val="bottom"/>
            <w:hideMark/>
          </w:tcPr>
          <w:p w14:paraId="73B8BBF8"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Duración</w:t>
            </w:r>
          </w:p>
          <w:p w14:paraId="11101208"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bCs/>
                <w:i/>
                <w:color w:val="auto"/>
                <w:sz w:val="18"/>
                <w:szCs w:val="18"/>
                <w:lang w:val="es-ES" w:eastAsia="es-ES"/>
              </w:rPr>
              <w:t>Promedio</w:t>
            </w:r>
          </w:p>
        </w:tc>
        <w:tc>
          <w:tcPr>
            <w:tcW w:w="1418" w:type="dxa"/>
            <w:tcBorders>
              <w:top w:val="nil"/>
              <w:left w:val="nil"/>
              <w:bottom w:val="single" w:sz="6" w:space="0" w:color="auto"/>
              <w:right w:val="nil"/>
            </w:tcBorders>
            <w:vAlign w:val="bottom"/>
            <w:hideMark/>
          </w:tcPr>
          <w:p w14:paraId="309076FA"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bCs/>
                <w:i/>
                <w:color w:val="auto"/>
                <w:sz w:val="18"/>
                <w:szCs w:val="18"/>
                <w:lang w:val="es-ES" w:eastAsia="es-ES"/>
              </w:rPr>
            </w:pPr>
            <w:r w:rsidRPr="00FD1DC0">
              <w:rPr>
                <w:rFonts w:ascii="Times New Roman" w:eastAsia="Times New Roman" w:hAnsi="Times New Roman" w:cs="Times New Roman"/>
                <w:b/>
                <w:bCs/>
                <w:i/>
                <w:color w:val="auto"/>
                <w:sz w:val="18"/>
                <w:szCs w:val="18"/>
                <w:lang w:val="es-ES" w:eastAsia="es-ES"/>
              </w:rPr>
              <w:t>Desvío</w:t>
            </w:r>
          </w:p>
          <w:p w14:paraId="313125E5"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bCs/>
                <w:i/>
                <w:color w:val="auto"/>
                <w:sz w:val="18"/>
                <w:szCs w:val="18"/>
                <w:lang w:val="es-ES" w:eastAsia="es-ES"/>
              </w:rPr>
              <w:t>Estándar</w:t>
            </w:r>
          </w:p>
        </w:tc>
      </w:tr>
      <w:tr w:rsidR="008A4B9A" w:rsidRPr="00FD1DC0" w14:paraId="2B017078" w14:textId="77777777" w:rsidTr="00CB004A">
        <w:trPr>
          <w:trHeight w:val="225"/>
          <w:jc w:val="center"/>
        </w:trPr>
        <w:tc>
          <w:tcPr>
            <w:tcW w:w="998" w:type="dxa"/>
            <w:tcBorders>
              <w:top w:val="single" w:sz="6" w:space="0" w:color="auto"/>
              <w:left w:val="nil"/>
              <w:bottom w:val="nil"/>
              <w:right w:val="single" w:sz="6" w:space="0" w:color="auto"/>
            </w:tcBorders>
            <w:vAlign w:val="bottom"/>
            <w:hideMark/>
          </w:tcPr>
          <w:p w14:paraId="7BCD8F5B"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sz w:val="18"/>
                <w:szCs w:val="18"/>
                <w:lang w:val="es-ES" w:eastAsia="es-ES"/>
              </w:rPr>
              <w:t> </w:t>
            </w:r>
            <w:r w:rsidRPr="00FD1DC0">
              <w:rPr>
                <w:rFonts w:ascii="Times New Roman" w:eastAsia="Times New Roman" w:hAnsi="Times New Roman" w:cs="Times New Roman"/>
                <w:b/>
                <w:bCs/>
                <w:i/>
                <w:color w:val="auto"/>
                <w:sz w:val="18"/>
                <w:szCs w:val="18"/>
                <w:lang w:val="es-ES" w:eastAsia="es-ES"/>
              </w:rPr>
              <w:t xml:space="preserve">Estado 1 </w:t>
            </w:r>
            <w:r w:rsidRPr="00FD1DC0">
              <w:rPr>
                <w:rFonts w:ascii="Times New Roman" w:eastAsia="Times New Roman" w:hAnsi="Times New Roman" w:cs="Times New Roman"/>
                <w:b/>
                <w:bCs/>
                <w:i/>
                <w:color w:val="auto"/>
                <w:sz w:val="18"/>
                <w:szCs w:val="18"/>
                <w:vertAlign w:val="superscript"/>
                <w:lang w:val="es-ES" w:eastAsia="es-ES"/>
              </w:rPr>
              <w:footnoteReference w:id="12"/>
            </w:r>
          </w:p>
        </w:tc>
        <w:tc>
          <w:tcPr>
            <w:tcW w:w="1417" w:type="dxa"/>
            <w:tcBorders>
              <w:top w:val="single" w:sz="6" w:space="0" w:color="auto"/>
              <w:left w:val="single" w:sz="6" w:space="0" w:color="auto"/>
              <w:bottom w:val="nil"/>
              <w:right w:val="nil"/>
            </w:tcBorders>
            <w:vAlign w:val="bottom"/>
            <w:hideMark/>
          </w:tcPr>
          <w:p w14:paraId="1801852E" w14:textId="09974B98" w:rsidR="008A4B9A" w:rsidRPr="00FD1DC0" w:rsidRDefault="00005517"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28</w:t>
            </w:r>
          </w:p>
        </w:tc>
        <w:tc>
          <w:tcPr>
            <w:tcW w:w="1418" w:type="dxa"/>
            <w:tcBorders>
              <w:top w:val="single" w:sz="6" w:space="0" w:color="auto"/>
              <w:left w:val="nil"/>
              <w:bottom w:val="nil"/>
              <w:right w:val="nil"/>
            </w:tcBorders>
            <w:vAlign w:val="bottom"/>
            <w:hideMark/>
          </w:tcPr>
          <w:p w14:paraId="0D5EF794" w14:textId="68469348" w:rsidR="008A4B9A" w:rsidRPr="00FD1DC0" w:rsidRDefault="004502DD"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 xml:space="preserve">   </w:t>
            </w:r>
            <w:r w:rsidR="00DF0DDE" w:rsidRPr="00FD1DC0">
              <w:rPr>
                <w:rFonts w:eastAsia="Times New Roman"/>
                <w:sz w:val="18"/>
                <w:szCs w:val="18"/>
                <w:lang w:val="es-ES" w:eastAsia="es-ES"/>
              </w:rPr>
              <w:t>6.75</w:t>
            </w:r>
          </w:p>
        </w:tc>
        <w:tc>
          <w:tcPr>
            <w:tcW w:w="1418" w:type="dxa"/>
            <w:tcBorders>
              <w:top w:val="single" w:sz="6" w:space="0" w:color="auto"/>
              <w:left w:val="nil"/>
              <w:bottom w:val="nil"/>
              <w:right w:val="nil"/>
            </w:tcBorders>
            <w:hideMark/>
          </w:tcPr>
          <w:p w14:paraId="0F4C8F48" w14:textId="19E9FA99" w:rsidR="008A4B9A" w:rsidRPr="00FD1DC0" w:rsidRDefault="00005517"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25</w:t>
            </w:r>
          </w:p>
        </w:tc>
        <w:tc>
          <w:tcPr>
            <w:tcW w:w="1418" w:type="dxa"/>
            <w:tcBorders>
              <w:top w:val="single" w:sz="6" w:space="0" w:color="auto"/>
              <w:left w:val="nil"/>
              <w:bottom w:val="nil"/>
              <w:right w:val="nil"/>
            </w:tcBorders>
            <w:hideMark/>
          </w:tcPr>
          <w:p w14:paraId="07217E93" w14:textId="16DE1750" w:rsidR="008A4B9A" w:rsidRPr="00FD1DC0" w:rsidRDefault="00005517"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9.62</w:t>
            </w:r>
          </w:p>
        </w:tc>
      </w:tr>
      <w:tr w:rsidR="008A4B9A" w:rsidRPr="00FD1DC0" w14:paraId="02B316B1" w14:textId="77777777" w:rsidTr="00CB004A">
        <w:trPr>
          <w:trHeight w:val="225"/>
          <w:jc w:val="center"/>
        </w:trPr>
        <w:tc>
          <w:tcPr>
            <w:tcW w:w="998" w:type="dxa"/>
            <w:tcBorders>
              <w:top w:val="nil"/>
              <w:left w:val="nil"/>
              <w:bottom w:val="nil"/>
              <w:right w:val="single" w:sz="6" w:space="0" w:color="auto"/>
            </w:tcBorders>
            <w:vAlign w:val="bottom"/>
            <w:hideMark/>
          </w:tcPr>
          <w:p w14:paraId="714485BB" w14:textId="77777777" w:rsidR="008A4B9A" w:rsidRPr="00FD1DC0" w:rsidRDefault="008A4B9A" w:rsidP="008A4B9A">
            <w:pPr>
              <w:autoSpaceDE w:val="0"/>
              <w:autoSpaceDN w:val="0"/>
              <w:adjustRightInd w:val="0"/>
              <w:spacing w:after="0" w:line="240" w:lineRule="auto"/>
              <w:ind w:left="0" w:right="0" w:firstLine="0"/>
              <w:jc w:val="center"/>
              <w:rPr>
                <w:rFonts w:ascii="Times New Roman" w:eastAsia="Times New Roman" w:hAnsi="Times New Roman" w:cs="Times New Roman"/>
                <w:b/>
                <w:sz w:val="18"/>
                <w:szCs w:val="18"/>
                <w:lang w:val="es-ES" w:eastAsia="es-ES"/>
              </w:rPr>
            </w:pPr>
            <w:r w:rsidRPr="00FD1DC0">
              <w:rPr>
                <w:rFonts w:ascii="Times New Roman" w:eastAsia="Times New Roman" w:hAnsi="Times New Roman" w:cs="Times New Roman"/>
                <w:b/>
                <w:bCs/>
                <w:i/>
                <w:color w:val="auto"/>
                <w:sz w:val="18"/>
                <w:szCs w:val="18"/>
                <w:lang w:val="es-ES" w:eastAsia="es-ES"/>
              </w:rPr>
              <w:t>Estado 0</w:t>
            </w:r>
          </w:p>
        </w:tc>
        <w:tc>
          <w:tcPr>
            <w:tcW w:w="1417" w:type="dxa"/>
            <w:tcBorders>
              <w:top w:val="nil"/>
              <w:left w:val="single" w:sz="6" w:space="0" w:color="auto"/>
              <w:bottom w:val="nil"/>
              <w:right w:val="nil"/>
            </w:tcBorders>
            <w:vAlign w:val="bottom"/>
            <w:hideMark/>
          </w:tcPr>
          <w:p w14:paraId="6CCB447A" w14:textId="3D776380" w:rsidR="008A4B9A" w:rsidRPr="00FD1DC0" w:rsidRDefault="00005517"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12</w:t>
            </w:r>
            <w:r w:rsidR="004502DD" w:rsidRPr="00FD1DC0">
              <w:rPr>
                <w:rFonts w:eastAsia="Times New Roman"/>
                <w:sz w:val="18"/>
                <w:szCs w:val="18"/>
                <w:lang w:val="es-ES" w:eastAsia="es-ES"/>
              </w:rPr>
              <w:t xml:space="preserve"> </w:t>
            </w:r>
          </w:p>
        </w:tc>
        <w:tc>
          <w:tcPr>
            <w:tcW w:w="1418" w:type="dxa"/>
            <w:vAlign w:val="bottom"/>
            <w:hideMark/>
          </w:tcPr>
          <w:p w14:paraId="4D0EEBBD" w14:textId="5C2D32CD" w:rsidR="008A4B9A" w:rsidRPr="00FD1DC0" w:rsidRDefault="001E0C08" w:rsidP="004502DD">
            <w:pPr>
              <w:autoSpaceDE w:val="0"/>
              <w:autoSpaceDN w:val="0"/>
              <w:adjustRightInd w:val="0"/>
              <w:spacing w:after="0" w:line="240" w:lineRule="auto"/>
              <w:ind w:left="0" w:right="10" w:firstLine="0"/>
              <w:rPr>
                <w:rFonts w:eastAsia="Times New Roman"/>
                <w:sz w:val="18"/>
                <w:szCs w:val="18"/>
                <w:lang w:val="es-ES" w:eastAsia="es-ES"/>
              </w:rPr>
            </w:pPr>
            <w:r w:rsidRPr="00FD1DC0">
              <w:rPr>
                <w:rFonts w:eastAsia="Times New Roman"/>
                <w:sz w:val="18"/>
                <w:szCs w:val="18"/>
                <w:lang w:val="es-ES" w:eastAsia="es-ES"/>
              </w:rPr>
              <w:t xml:space="preserve">          </w:t>
            </w:r>
            <w:r w:rsidR="00005517" w:rsidRPr="00FD1DC0">
              <w:rPr>
                <w:rFonts w:eastAsia="Times New Roman"/>
                <w:sz w:val="18"/>
                <w:szCs w:val="18"/>
                <w:lang w:val="es-ES" w:eastAsia="es-ES"/>
              </w:rPr>
              <w:t xml:space="preserve">  5.91</w:t>
            </w:r>
          </w:p>
        </w:tc>
        <w:tc>
          <w:tcPr>
            <w:tcW w:w="1418" w:type="dxa"/>
            <w:hideMark/>
          </w:tcPr>
          <w:p w14:paraId="50768F65" w14:textId="59D333D2" w:rsidR="008A4B9A" w:rsidRPr="00FD1DC0" w:rsidRDefault="00DF0DDE"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9</w:t>
            </w:r>
          </w:p>
        </w:tc>
        <w:tc>
          <w:tcPr>
            <w:tcW w:w="1418" w:type="dxa"/>
            <w:hideMark/>
          </w:tcPr>
          <w:p w14:paraId="6F67F872" w14:textId="732FC2D2" w:rsidR="008A4B9A" w:rsidRPr="00FD1DC0" w:rsidRDefault="00005517" w:rsidP="008A4B9A">
            <w:pPr>
              <w:autoSpaceDE w:val="0"/>
              <w:autoSpaceDN w:val="0"/>
              <w:adjustRightInd w:val="0"/>
              <w:spacing w:after="0" w:line="240" w:lineRule="auto"/>
              <w:ind w:left="0" w:right="10" w:firstLine="0"/>
              <w:jc w:val="center"/>
              <w:rPr>
                <w:rFonts w:eastAsia="Times New Roman"/>
                <w:sz w:val="18"/>
                <w:szCs w:val="18"/>
                <w:lang w:val="es-ES" w:eastAsia="es-ES"/>
              </w:rPr>
            </w:pPr>
            <w:r w:rsidRPr="00FD1DC0">
              <w:rPr>
                <w:rFonts w:eastAsia="Times New Roman"/>
                <w:sz w:val="18"/>
                <w:szCs w:val="18"/>
                <w:lang w:val="es-ES" w:eastAsia="es-ES"/>
              </w:rPr>
              <w:t xml:space="preserve"> 8.32</w:t>
            </w:r>
          </w:p>
        </w:tc>
      </w:tr>
    </w:tbl>
    <w:p w14:paraId="0BEB5143" w14:textId="751E7BBE" w:rsidR="00746790" w:rsidRPr="00FD1DC0" w:rsidRDefault="00E415A5" w:rsidP="00482674">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5D993288" w14:textId="632F30BB" w:rsidR="00746790" w:rsidRPr="00FD1DC0" w:rsidRDefault="00E9600B"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Lo que indica en los cuadros 8 y 9 respectivame</w:t>
      </w:r>
      <w:r w:rsidR="00B3388B" w:rsidRPr="00FD1DC0">
        <w:rPr>
          <w:rFonts w:ascii="Times New Roman" w:hAnsi="Times New Roman" w:cs="Times New Roman"/>
          <w:lang w:val="es-BO"/>
        </w:rPr>
        <w:t>nte es que los periodos de baja</w:t>
      </w:r>
      <w:r w:rsidR="001D22F6" w:rsidRPr="00FD1DC0">
        <w:rPr>
          <w:rFonts w:ascii="Times New Roman" w:hAnsi="Times New Roman" w:cs="Times New Roman"/>
          <w:lang w:val="es-BO"/>
        </w:rPr>
        <w:t xml:space="preserve"> </w:t>
      </w:r>
      <w:r w:rsidRPr="00FD1DC0">
        <w:rPr>
          <w:rFonts w:ascii="Times New Roman" w:hAnsi="Times New Roman" w:cs="Times New Roman"/>
          <w:lang w:val="es-BO"/>
        </w:rPr>
        <w:t xml:space="preserve">volatilidad </w:t>
      </w:r>
      <w:r w:rsidR="00257DCD" w:rsidRPr="00FD1DC0">
        <w:rPr>
          <w:rFonts w:ascii="Times New Roman" w:hAnsi="Times New Roman" w:cs="Times New Roman"/>
          <w:lang w:val="es-BO"/>
        </w:rPr>
        <w:t xml:space="preserve">del tipo de cambio real y la mayor apreciación cambiaria real </w:t>
      </w:r>
      <w:r w:rsidRPr="00FD1DC0">
        <w:rPr>
          <w:rFonts w:ascii="Times New Roman" w:hAnsi="Times New Roman" w:cs="Times New Roman"/>
          <w:lang w:val="es-BO"/>
        </w:rPr>
        <w:t>en México y Brasil, en el periodo c</w:t>
      </w:r>
      <w:r w:rsidR="00257DCD" w:rsidRPr="00FD1DC0">
        <w:rPr>
          <w:rFonts w:ascii="Times New Roman" w:hAnsi="Times New Roman" w:cs="Times New Roman"/>
          <w:lang w:val="es-BO"/>
        </w:rPr>
        <w:t>onsiderado, fueron más</w:t>
      </w:r>
      <w:r w:rsidRPr="00FD1DC0">
        <w:rPr>
          <w:rFonts w:ascii="Times New Roman" w:hAnsi="Times New Roman" w:cs="Times New Roman"/>
          <w:lang w:val="es-BO"/>
        </w:rPr>
        <w:t xml:space="preserve"> persistentes con</w:t>
      </w:r>
      <w:r w:rsidR="00B3388B" w:rsidRPr="00FD1DC0">
        <w:rPr>
          <w:rFonts w:ascii="Times New Roman" w:hAnsi="Times New Roman" w:cs="Times New Roman"/>
          <w:lang w:val="es-BO"/>
        </w:rPr>
        <w:t xml:space="preserve"> relación a los periodos de alta</w:t>
      </w:r>
      <w:r w:rsidRPr="00FD1DC0">
        <w:rPr>
          <w:rFonts w:ascii="Times New Roman" w:hAnsi="Times New Roman" w:cs="Times New Roman"/>
          <w:lang w:val="es-BO"/>
        </w:rPr>
        <w:t xml:space="preserve"> volatilidad</w:t>
      </w:r>
      <w:r w:rsidR="00DF0DDE" w:rsidRPr="00FD1DC0">
        <w:rPr>
          <w:rFonts w:ascii="Times New Roman" w:hAnsi="Times New Roman" w:cs="Times New Roman"/>
          <w:lang w:val="es-BO"/>
        </w:rPr>
        <w:t xml:space="preserve"> y una mayor depreciación del tipo de cambio real</w:t>
      </w:r>
      <w:r w:rsidRPr="00FD1DC0">
        <w:rPr>
          <w:rFonts w:ascii="Times New Roman" w:hAnsi="Times New Roman" w:cs="Times New Roman"/>
          <w:lang w:val="es-BO"/>
        </w:rPr>
        <w:t>. Por ejemplo, para México la probabilidad de que una baja volatilidad</w:t>
      </w:r>
      <w:r w:rsidR="00DF0DDE" w:rsidRPr="00FD1DC0">
        <w:rPr>
          <w:rFonts w:ascii="Times New Roman" w:hAnsi="Times New Roman" w:cs="Times New Roman"/>
          <w:lang w:val="es-BO"/>
        </w:rPr>
        <w:t xml:space="preserve"> y episodio de mayor apreciación del tipo de cambio real</w:t>
      </w:r>
      <w:r w:rsidRPr="00FD1DC0">
        <w:rPr>
          <w:rFonts w:ascii="Times New Roman" w:hAnsi="Times New Roman" w:cs="Times New Roman"/>
          <w:lang w:val="es-BO"/>
        </w:rPr>
        <w:t xml:space="preserve"> esté seguida por otra de baja volatilidad </w:t>
      </w:r>
      <w:r w:rsidR="00DF0DDE" w:rsidRPr="00FD1DC0">
        <w:rPr>
          <w:rFonts w:ascii="Times New Roman" w:hAnsi="Times New Roman" w:cs="Times New Roman"/>
          <w:lang w:val="es-BO"/>
        </w:rPr>
        <w:t>en el siguiente mes es de: 0.8</w:t>
      </w:r>
      <w:r w:rsidR="00C35F63" w:rsidRPr="00FD1DC0">
        <w:rPr>
          <w:rFonts w:ascii="Times New Roman" w:hAnsi="Times New Roman" w:cs="Times New Roman"/>
          <w:lang w:val="es-BO"/>
        </w:rPr>
        <w:t>5</w:t>
      </w:r>
      <w:r w:rsidRPr="00FD1DC0">
        <w:rPr>
          <w:rFonts w:ascii="Times New Roman" w:hAnsi="Times New Roman" w:cs="Times New Roman"/>
          <w:lang w:val="es-BO"/>
        </w:rPr>
        <w:t xml:space="preserve"> por lo que estos periodos persistirí</w:t>
      </w:r>
      <w:r w:rsidR="001D22F6" w:rsidRPr="00FD1DC0">
        <w:rPr>
          <w:rFonts w:ascii="Times New Roman" w:hAnsi="Times New Roman" w:cs="Times New Roman"/>
          <w:lang w:val="es-BO"/>
        </w:rPr>
        <w:t xml:space="preserve">an </w:t>
      </w:r>
      <w:r w:rsidR="00DF0DDE" w:rsidRPr="00FD1DC0">
        <w:rPr>
          <w:rFonts w:ascii="Times New Roman" w:hAnsi="Times New Roman" w:cs="Times New Roman"/>
          <w:lang w:val="es-BO"/>
        </w:rPr>
        <w:t>en promedio durante veinte ocho</w:t>
      </w:r>
      <w:r w:rsidRPr="00FD1DC0">
        <w:rPr>
          <w:rFonts w:ascii="Times New Roman" w:hAnsi="Times New Roman" w:cs="Times New Roman"/>
          <w:lang w:val="es-BO"/>
        </w:rPr>
        <w:t xml:space="preserve"> </w:t>
      </w:r>
      <w:r w:rsidR="00C071DA" w:rsidRPr="00FD1DC0">
        <w:rPr>
          <w:rFonts w:ascii="Times New Roman" w:hAnsi="Times New Roman" w:cs="Times New Roman"/>
          <w:lang w:val="es-BO"/>
        </w:rPr>
        <w:t>meses y</w:t>
      </w:r>
      <w:r w:rsidRPr="00FD1DC0">
        <w:rPr>
          <w:rFonts w:ascii="Times New Roman" w:hAnsi="Times New Roman" w:cs="Times New Roman"/>
          <w:lang w:val="es-BO"/>
        </w:rPr>
        <w:t xml:space="preserve"> con </w:t>
      </w:r>
      <w:r w:rsidR="00DF0DDE" w:rsidRPr="00FD1DC0">
        <w:rPr>
          <w:rFonts w:ascii="Times New Roman" w:hAnsi="Times New Roman" w:cs="Times New Roman"/>
          <w:lang w:val="es-BO"/>
        </w:rPr>
        <w:t>una desviación estándar de 6.75</w:t>
      </w:r>
      <w:r w:rsidRPr="00FD1DC0">
        <w:rPr>
          <w:rFonts w:ascii="Times New Roman" w:hAnsi="Times New Roman" w:cs="Times New Roman"/>
          <w:lang w:val="es-BO"/>
        </w:rPr>
        <w:t xml:space="preserve">. A su vez para Brasil la probabilidad de que una </w:t>
      </w:r>
      <w:r w:rsidR="00DF0DDE" w:rsidRPr="00FD1DC0">
        <w:rPr>
          <w:rFonts w:ascii="Times New Roman" w:hAnsi="Times New Roman" w:cs="Times New Roman"/>
          <w:lang w:val="es-BO"/>
        </w:rPr>
        <w:t>baja volatilidad y episodio de mayor apreciación del tipo de cambio real</w:t>
      </w:r>
      <w:r w:rsidRPr="00FD1DC0">
        <w:rPr>
          <w:rFonts w:ascii="Times New Roman" w:hAnsi="Times New Roman" w:cs="Times New Roman"/>
          <w:lang w:val="es-BO"/>
        </w:rPr>
        <w:t xml:space="preserve"> esté seguida por otra de baja volatilidad</w:t>
      </w:r>
      <w:r w:rsidR="00DF0DDE" w:rsidRPr="00FD1DC0">
        <w:rPr>
          <w:rFonts w:ascii="Times New Roman" w:hAnsi="Times New Roman" w:cs="Times New Roman"/>
          <w:lang w:val="es-BO"/>
        </w:rPr>
        <w:t xml:space="preserve"> en el siguiente mes es de: 0.85</w:t>
      </w:r>
      <w:r w:rsidRPr="00FD1DC0">
        <w:rPr>
          <w:rFonts w:ascii="Times New Roman" w:hAnsi="Times New Roman" w:cs="Times New Roman"/>
          <w:lang w:val="es-BO"/>
        </w:rPr>
        <w:t xml:space="preserve"> por lo que estos periodos persistirían en promedio durante </w:t>
      </w:r>
      <w:r w:rsidR="00DF0DDE" w:rsidRPr="00FD1DC0">
        <w:rPr>
          <w:rFonts w:ascii="Times New Roman" w:hAnsi="Times New Roman" w:cs="Times New Roman"/>
          <w:lang w:val="es-BO"/>
        </w:rPr>
        <w:t>veinte cinco</w:t>
      </w:r>
      <w:r w:rsidR="00482674" w:rsidRPr="00FD1DC0">
        <w:rPr>
          <w:rFonts w:ascii="Times New Roman" w:hAnsi="Times New Roman" w:cs="Times New Roman"/>
          <w:lang w:val="es-BO"/>
        </w:rPr>
        <w:t xml:space="preserve"> meses</w:t>
      </w:r>
      <w:r w:rsidRPr="00FD1DC0">
        <w:rPr>
          <w:rFonts w:ascii="Times New Roman" w:hAnsi="Times New Roman" w:cs="Times New Roman"/>
          <w:lang w:val="es-BO"/>
        </w:rPr>
        <w:t xml:space="preserve"> y c</w:t>
      </w:r>
      <w:r w:rsidR="00DF0DDE" w:rsidRPr="00FD1DC0">
        <w:rPr>
          <w:rFonts w:ascii="Times New Roman" w:hAnsi="Times New Roman" w:cs="Times New Roman"/>
          <w:lang w:val="es-BO"/>
        </w:rPr>
        <w:t>on una desviación estándar de 9.62</w:t>
      </w:r>
      <w:r w:rsidRPr="00FD1DC0">
        <w:rPr>
          <w:rFonts w:ascii="Times New Roman" w:hAnsi="Times New Roman" w:cs="Times New Roman"/>
          <w:lang w:val="es-BO"/>
        </w:rPr>
        <w:t xml:space="preserve">.  </w:t>
      </w:r>
    </w:p>
    <w:p w14:paraId="59347847" w14:textId="7869C1FD" w:rsidR="00746790" w:rsidRPr="00FD1DC0" w:rsidRDefault="00E9600B"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Por otro lado, para México la probabilidad de que a una fase de alta volatilidad</w:t>
      </w:r>
      <w:r w:rsidR="00DF0DDE" w:rsidRPr="00FD1DC0">
        <w:rPr>
          <w:rFonts w:ascii="Times New Roman" w:hAnsi="Times New Roman" w:cs="Times New Roman"/>
          <w:lang w:val="es-BO"/>
        </w:rPr>
        <w:t xml:space="preserve"> del tipo de cambio real</w:t>
      </w:r>
      <w:r w:rsidRPr="00FD1DC0">
        <w:rPr>
          <w:rFonts w:ascii="Times New Roman" w:hAnsi="Times New Roman" w:cs="Times New Roman"/>
          <w:lang w:val="es-BO"/>
        </w:rPr>
        <w:t xml:space="preserve"> le siga otra fase de alta volatili</w:t>
      </w:r>
      <w:r w:rsidR="00482674" w:rsidRPr="00FD1DC0">
        <w:rPr>
          <w:rFonts w:ascii="Times New Roman" w:hAnsi="Times New Roman" w:cs="Times New Roman"/>
          <w:lang w:val="es-BO"/>
        </w:rPr>
        <w:t>dad</w:t>
      </w:r>
      <w:r w:rsidR="00DF0DDE" w:rsidRPr="00FD1DC0">
        <w:rPr>
          <w:rFonts w:ascii="Times New Roman" w:hAnsi="Times New Roman" w:cs="Times New Roman"/>
          <w:lang w:val="es-BO"/>
        </w:rPr>
        <w:t xml:space="preserve"> cambiaria real en el siguiente mes es 0.56</w:t>
      </w:r>
      <w:r w:rsidRPr="00FD1DC0">
        <w:rPr>
          <w:rFonts w:ascii="Times New Roman" w:hAnsi="Times New Roman" w:cs="Times New Roman"/>
          <w:lang w:val="es-BO"/>
        </w:rPr>
        <w:t>, por lo que estos episodios per</w:t>
      </w:r>
      <w:r w:rsidR="00DF0DDE" w:rsidRPr="00FD1DC0">
        <w:rPr>
          <w:rFonts w:ascii="Times New Roman" w:hAnsi="Times New Roman" w:cs="Times New Roman"/>
          <w:lang w:val="es-BO"/>
        </w:rPr>
        <w:t>sistirían unos doce</w:t>
      </w:r>
      <w:r w:rsidR="00C35F63" w:rsidRPr="00FD1DC0">
        <w:rPr>
          <w:rFonts w:ascii="Times New Roman" w:hAnsi="Times New Roman" w:cs="Times New Roman"/>
          <w:lang w:val="es-BO"/>
        </w:rPr>
        <w:t xml:space="preserve"> meses</w:t>
      </w:r>
      <w:r w:rsidRPr="00FD1DC0">
        <w:rPr>
          <w:rFonts w:ascii="Times New Roman" w:hAnsi="Times New Roman" w:cs="Times New Roman"/>
          <w:lang w:val="es-BO"/>
        </w:rPr>
        <w:t xml:space="preserve"> y </w:t>
      </w:r>
      <w:r w:rsidR="00C35F63" w:rsidRPr="00FD1DC0">
        <w:rPr>
          <w:rFonts w:ascii="Times New Roman" w:hAnsi="Times New Roman" w:cs="Times New Roman"/>
          <w:lang w:val="es-BO"/>
        </w:rPr>
        <w:t>c</w:t>
      </w:r>
      <w:r w:rsidR="00DF0DDE" w:rsidRPr="00FD1DC0">
        <w:rPr>
          <w:rFonts w:ascii="Times New Roman" w:hAnsi="Times New Roman" w:cs="Times New Roman"/>
          <w:lang w:val="es-BO"/>
        </w:rPr>
        <w:t>on una desviación estándar de 5.91</w:t>
      </w:r>
      <w:r w:rsidRPr="00FD1DC0">
        <w:rPr>
          <w:rFonts w:ascii="Times New Roman" w:hAnsi="Times New Roman" w:cs="Times New Roman"/>
          <w:lang w:val="es-BO"/>
        </w:rPr>
        <w:t xml:space="preserve">. A su vez, para Brasil la probabilidad de que a una fase de alta volatilidad </w:t>
      </w:r>
      <w:r w:rsidR="00DF0DDE" w:rsidRPr="00FD1DC0">
        <w:rPr>
          <w:rFonts w:ascii="Times New Roman" w:hAnsi="Times New Roman" w:cs="Times New Roman"/>
          <w:lang w:val="es-BO"/>
        </w:rPr>
        <w:t xml:space="preserve">cambiaria real </w:t>
      </w:r>
      <w:r w:rsidRPr="00FD1DC0">
        <w:rPr>
          <w:rFonts w:ascii="Times New Roman" w:hAnsi="Times New Roman" w:cs="Times New Roman"/>
          <w:lang w:val="es-BO"/>
        </w:rPr>
        <w:t>le siga otra fase de alta volatil</w:t>
      </w:r>
      <w:r w:rsidR="00DF0DDE" w:rsidRPr="00FD1DC0">
        <w:rPr>
          <w:rFonts w:ascii="Times New Roman" w:hAnsi="Times New Roman" w:cs="Times New Roman"/>
          <w:lang w:val="es-BO"/>
        </w:rPr>
        <w:t>idad en el siguiente mes es 0.64</w:t>
      </w:r>
      <w:r w:rsidRPr="00FD1DC0">
        <w:rPr>
          <w:rFonts w:ascii="Times New Roman" w:hAnsi="Times New Roman" w:cs="Times New Roman"/>
          <w:lang w:val="es-BO"/>
        </w:rPr>
        <w:t>, por lo que estos episodios persisti</w:t>
      </w:r>
      <w:r w:rsidR="00DF0DDE" w:rsidRPr="00FD1DC0">
        <w:rPr>
          <w:rFonts w:ascii="Times New Roman" w:hAnsi="Times New Roman" w:cs="Times New Roman"/>
          <w:lang w:val="es-BO"/>
        </w:rPr>
        <w:t>rían unos nueve</w:t>
      </w:r>
      <w:r w:rsidR="00482674" w:rsidRPr="00FD1DC0">
        <w:rPr>
          <w:rFonts w:ascii="Times New Roman" w:hAnsi="Times New Roman" w:cs="Times New Roman"/>
          <w:lang w:val="es-BO"/>
        </w:rPr>
        <w:t xml:space="preserve"> </w:t>
      </w:r>
      <w:r w:rsidR="00C35F63" w:rsidRPr="00FD1DC0">
        <w:rPr>
          <w:rFonts w:ascii="Times New Roman" w:hAnsi="Times New Roman" w:cs="Times New Roman"/>
          <w:lang w:val="es-BO"/>
        </w:rPr>
        <w:t xml:space="preserve">meses </w:t>
      </w:r>
      <w:r w:rsidRPr="00FD1DC0">
        <w:rPr>
          <w:rFonts w:ascii="Times New Roman" w:hAnsi="Times New Roman" w:cs="Times New Roman"/>
          <w:lang w:val="es-BO"/>
        </w:rPr>
        <w:t xml:space="preserve">y </w:t>
      </w:r>
      <w:r w:rsidR="00C35F63" w:rsidRPr="00FD1DC0">
        <w:rPr>
          <w:rFonts w:ascii="Times New Roman" w:hAnsi="Times New Roman" w:cs="Times New Roman"/>
          <w:lang w:val="es-BO"/>
        </w:rPr>
        <w:t>c</w:t>
      </w:r>
      <w:r w:rsidR="00DF0DDE" w:rsidRPr="00FD1DC0">
        <w:rPr>
          <w:rFonts w:ascii="Times New Roman" w:hAnsi="Times New Roman" w:cs="Times New Roman"/>
          <w:lang w:val="es-BO"/>
        </w:rPr>
        <w:t>on una desviación estándar de 8.32</w:t>
      </w:r>
      <w:r w:rsidRPr="00FD1DC0">
        <w:rPr>
          <w:rFonts w:ascii="Times New Roman" w:hAnsi="Times New Roman" w:cs="Times New Roman"/>
          <w:lang w:val="es-BO"/>
        </w:rPr>
        <w:t xml:space="preserve">. </w:t>
      </w:r>
    </w:p>
    <w:p w14:paraId="0EFE3466" w14:textId="3E0629FF" w:rsidR="00482674" w:rsidRPr="00FD1DC0" w:rsidRDefault="005B2794" w:rsidP="00EE1332">
      <w:pPr>
        <w:spacing w:after="0" w:line="360" w:lineRule="auto"/>
        <w:ind w:left="62" w:right="539" w:hanging="11"/>
        <w:rPr>
          <w:rFonts w:ascii="Times New Roman" w:hAnsi="Times New Roman" w:cs="Times New Roman"/>
          <w:szCs w:val="24"/>
          <w:lang w:val="es-BO"/>
        </w:rPr>
      </w:pPr>
      <w:r w:rsidRPr="00FD1DC0">
        <w:rPr>
          <w:rFonts w:ascii="Times New Roman" w:hAnsi="Times New Roman" w:cs="Times New Roman"/>
          <w:lang w:val="es-BO"/>
        </w:rPr>
        <w:t>La explicación de la misma, vendría por varios factores, la primera es que el movimiento de las tasas de interés d</w:t>
      </w:r>
      <w:r w:rsidR="00BC41A7" w:rsidRPr="00FD1DC0">
        <w:rPr>
          <w:rFonts w:ascii="Times New Roman" w:hAnsi="Times New Roman" w:cs="Times New Roman"/>
          <w:lang w:val="es-BO"/>
        </w:rPr>
        <w:t xml:space="preserve">e la FED de Estados Unidos con respecto de </w:t>
      </w:r>
      <w:r w:rsidRPr="00FD1DC0">
        <w:rPr>
          <w:rFonts w:ascii="Times New Roman" w:hAnsi="Times New Roman" w:cs="Times New Roman"/>
          <w:lang w:val="es-BO"/>
        </w:rPr>
        <w:t xml:space="preserve">México </w:t>
      </w:r>
      <w:r w:rsidR="00BC41A7" w:rsidRPr="00FD1DC0">
        <w:rPr>
          <w:rFonts w:ascii="Times New Roman" w:hAnsi="Times New Roman" w:cs="Times New Roman"/>
          <w:lang w:val="es-BO"/>
        </w:rPr>
        <w:t xml:space="preserve">y Brasil </w:t>
      </w:r>
      <w:r w:rsidRPr="00FD1DC0">
        <w:rPr>
          <w:rFonts w:ascii="Times New Roman" w:hAnsi="Times New Roman" w:cs="Times New Roman"/>
          <w:lang w:val="es-BO"/>
        </w:rPr>
        <w:t>están correlacionados fuertemente de manera positiva</w:t>
      </w:r>
      <w:r w:rsidRPr="00FD1DC0">
        <w:rPr>
          <w:rFonts w:ascii="Times New Roman" w:hAnsi="Times New Roman" w:cs="Times New Roman"/>
          <w:color w:val="222222"/>
          <w:szCs w:val="24"/>
          <w:shd w:val="clear" w:color="auto" w:fill="FFFFFF"/>
          <w:lang w:val="es-BO"/>
        </w:rPr>
        <w:t xml:space="preserve">, vale decir que si la FED incrementa la tasa de </w:t>
      </w:r>
      <w:r w:rsidR="00E45804" w:rsidRPr="00FD1DC0">
        <w:rPr>
          <w:rFonts w:ascii="Times New Roman" w:hAnsi="Times New Roman" w:cs="Times New Roman"/>
          <w:color w:val="222222"/>
          <w:szCs w:val="24"/>
          <w:shd w:val="clear" w:color="auto" w:fill="FFFFFF"/>
          <w:lang w:val="es-BO"/>
        </w:rPr>
        <w:t>interés para controlar la inflación</w:t>
      </w:r>
      <w:r w:rsidRPr="00FD1DC0">
        <w:rPr>
          <w:rFonts w:ascii="Times New Roman" w:hAnsi="Times New Roman" w:cs="Times New Roman"/>
          <w:color w:val="222222"/>
          <w:szCs w:val="24"/>
          <w:shd w:val="clear" w:color="auto" w:fill="FFFFFF"/>
          <w:lang w:val="es-BO"/>
        </w:rPr>
        <w:t>,</w:t>
      </w:r>
      <w:r w:rsidR="00E45804" w:rsidRPr="00FD1DC0">
        <w:rPr>
          <w:rFonts w:ascii="Times New Roman" w:hAnsi="Times New Roman" w:cs="Times New Roman"/>
          <w:color w:val="222222"/>
          <w:szCs w:val="24"/>
          <w:shd w:val="clear" w:color="auto" w:fill="FFFFFF"/>
          <w:lang w:val="es-BO"/>
        </w:rPr>
        <w:t xml:space="preserve"> </w:t>
      </w:r>
      <w:r w:rsidR="00BC41A7" w:rsidRPr="00FD1DC0">
        <w:rPr>
          <w:rFonts w:ascii="Times New Roman" w:hAnsi="Times New Roman" w:cs="Times New Roman"/>
          <w:color w:val="222222"/>
          <w:szCs w:val="24"/>
          <w:shd w:val="clear" w:color="auto" w:fill="FFFFFF"/>
          <w:lang w:val="es-BO"/>
        </w:rPr>
        <w:t xml:space="preserve">principalmente </w:t>
      </w:r>
      <w:r w:rsidR="00E45804" w:rsidRPr="00FD1DC0">
        <w:rPr>
          <w:rFonts w:ascii="Times New Roman" w:hAnsi="Times New Roman" w:cs="Times New Roman"/>
          <w:color w:val="222222"/>
          <w:szCs w:val="24"/>
          <w:shd w:val="clear" w:color="auto" w:fill="FFFFFF"/>
          <w:lang w:val="es-BO"/>
        </w:rPr>
        <w:t>el Banco de México también lo hará,</w:t>
      </w:r>
      <w:r w:rsidR="00BC41A7" w:rsidRPr="00FD1DC0">
        <w:rPr>
          <w:rFonts w:ascii="Times New Roman" w:hAnsi="Times New Roman" w:cs="Times New Roman"/>
          <w:color w:val="222222"/>
          <w:szCs w:val="24"/>
          <w:shd w:val="clear" w:color="auto" w:fill="FFFFFF"/>
          <w:lang w:val="es-BO"/>
        </w:rPr>
        <w:t xml:space="preserve"> pero en menor proporción.</w:t>
      </w:r>
    </w:p>
    <w:p w14:paraId="4CF712B6" w14:textId="40A192EA" w:rsidR="00746790" w:rsidRPr="00FD1DC0" w:rsidRDefault="00631925" w:rsidP="00EE1332">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Asimismo,</w:t>
      </w:r>
      <w:r w:rsidR="00E45804" w:rsidRPr="00FD1DC0">
        <w:rPr>
          <w:rFonts w:ascii="Times New Roman" w:hAnsi="Times New Roman" w:cs="Times New Roman"/>
          <w:lang w:val="es-BO"/>
        </w:rPr>
        <w:t xml:space="preserve"> en los cuadros 8 y 9</w:t>
      </w:r>
      <w:r w:rsidR="001D22F6" w:rsidRPr="00FD1DC0">
        <w:rPr>
          <w:rFonts w:ascii="Times New Roman" w:hAnsi="Times New Roman" w:cs="Times New Roman"/>
          <w:lang w:val="es-BO"/>
        </w:rPr>
        <w:t>,</w:t>
      </w:r>
      <w:r w:rsidR="00E9600B" w:rsidRPr="00FD1DC0">
        <w:rPr>
          <w:rFonts w:ascii="Times New Roman" w:hAnsi="Times New Roman" w:cs="Times New Roman"/>
          <w:lang w:val="es-BO"/>
        </w:rPr>
        <w:t xml:space="preserve"> para México la probabilidad de pasar de un periodo de baja volatilidad</w:t>
      </w:r>
      <w:r w:rsidR="00BC41A7" w:rsidRPr="00FD1DC0">
        <w:rPr>
          <w:rFonts w:ascii="Times New Roman" w:hAnsi="Times New Roman" w:cs="Times New Roman"/>
          <w:lang w:val="es-BO"/>
        </w:rPr>
        <w:t xml:space="preserve"> del tipo de cambio real</w:t>
      </w:r>
      <w:r w:rsidR="00E9600B" w:rsidRPr="00FD1DC0">
        <w:rPr>
          <w:rFonts w:ascii="Times New Roman" w:hAnsi="Times New Roman" w:cs="Times New Roman"/>
          <w:lang w:val="es-BO"/>
        </w:rPr>
        <w:t xml:space="preserve"> a una de alta volatil</w:t>
      </w:r>
      <w:r w:rsidR="00BC41A7" w:rsidRPr="00FD1DC0">
        <w:rPr>
          <w:rFonts w:ascii="Times New Roman" w:hAnsi="Times New Roman" w:cs="Times New Roman"/>
          <w:lang w:val="es-BO"/>
        </w:rPr>
        <w:t>idad es aproximadamente de 0.27</w:t>
      </w:r>
      <w:r w:rsidR="004502DD" w:rsidRPr="00FD1DC0">
        <w:rPr>
          <w:rFonts w:ascii="Times New Roman" w:hAnsi="Times New Roman" w:cs="Times New Roman"/>
          <w:lang w:val="es-BO"/>
        </w:rPr>
        <w:t xml:space="preserve"> y es</w:t>
      </w:r>
      <w:r w:rsidR="00BC41A7" w:rsidRPr="00FD1DC0">
        <w:rPr>
          <w:rFonts w:ascii="Times New Roman" w:hAnsi="Times New Roman" w:cs="Times New Roman"/>
          <w:lang w:val="es-BO"/>
        </w:rPr>
        <w:t>te resultado es menor</w:t>
      </w:r>
      <w:r w:rsidR="00E9600B" w:rsidRPr="00FD1DC0">
        <w:rPr>
          <w:rFonts w:ascii="Times New Roman" w:hAnsi="Times New Roman" w:cs="Times New Roman"/>
          <w:lang w:val="es-BO"/>
        </w:rPr>
        <w:t xml:space="preserve"> que la probabilidad de pasar de un periodo de alta volatilida</w:t>
      </w:r>
      <w:r w:rsidR="00BC41A7" w:rsidRPr="00FD1DC0">
        <w:rPr>
          <w:rFonts w:ascii="Times New Roman" w:hAnsi="Times New Roman" w:cs="Times New Roman"/>
          <w:lang w:val="es-BO"/>
        </w:rPr>
        <w:t>d a una de baja volatilidad 0.63</w:t>
      </w:r>
      <w:r w:rsidR="00E9600B" w:rsidRPr="00FD1DC0">
        <w:rPr>
          <w:rFonts w:ascii="Times New Roman" w:hAnsi="Times New Roman" w:cs="Times New Roman"/>
          <w:lang w:val="es-BO"/>
        </w:rPr>
        <w:t xml:space="preserve">. Por lo tanto, al observar la matriz de probabilidades de transición que se muestra en </w:t>
      </w:r>
      <w:r w:rsidR="004502DD" w:rsidRPr="00FD1DC0">
        <w:rPr>
          <w:rFonts w:ascii="Times New Roman" w:hAnsi="Times New Roman" w:cs="Times New Roman"/>
          <w:lang w:val="es-BO"/>
        </w:rPr>
        <w:t>los cuadros</w:t>
      </w:r>
      <w:r w:rsidR="00E9600B" w:rsidRPr="00FD1DC0">
        <w:rPr>
          <w:rFonts w:ascii="Times New Roman" w:hAnsi="Times New Roman" w:cs="Times New Roman"/>
          <w:lang w:val="es-BO"/>
        </w:rPr>
        <w:t xml:space="preserve"> 8 y 9, se puede decir que una vez que la volatilidad del tipo de cambio </w:t>
      </w:r>
      <w:r w:rsidR="00BC41A7" w:rsidRPr="00FD1DC0">
        <w:rPr>
          <w:rFonts w:ascii="Times New Roman" w:hAnsi="Times New Roman" w:cs="Times New Roman"/>
          <w:lang w:val="es-BO"/>
        </w:rPr>
        <w:t>real y la mayor apreciación cambiaría real se encuentra</w:t>
      </w:r>
      <w:r w:rsidR="00E9600B" w:rsidRPr="00FD1DC0">
        <w:rPr>
          <w:rFonts w:ascii="Times New Roman" w:hAnsi="Times New Roman" w:cs="Times New Roman"/>
          <w:lang w:val="es-BO"/>
        </w:rPr>
        <w:t xml:space="preserve"> en un estado o régi</w:t>
      </w:r>
      <w:r w:rsidR="00BC41A7" w:rsidRPr="00FD1DC0">
        <w:rPr>
          <w:rFonts w:ascii="Times New Roman" w:hAnsi="Times New Roman" w:cs="Times New Roman"/>
          <w:lang w:val="es-BO"/>
        </w:rPr>
        <w:t>men, es muy baja la posibilidad</w:t>
      </w:r>
      <w:r w:rsidR="00E9600B" w:rsidRPr="00FD1DC0">
        <w:rPr>
          <w:rFonts w:ascii="Times New Roman" w:hAnsi="Times New Roman" w:cs="Times New Roman"/>
          <w:lang w:val="es-BO"/>
        </w:rPr>
        <w:t xml:space="preserve"> de que pase al otro estado</w:t>
      </w:r>
      <w:r w:rsidR="00BC41A7" w:rsidRPr="00FD1DC0">
        <w:rPr>
          <w:rFonts w:ascii="Times New Roman" w:hAnsi="Times New Roman" w:cs="Times New Roman"/>
          <w:lang w:val="es-BO"/>
        </w:rPr>
        <w:t xml:space="preserve"> de una posible depreciación del tipo de cambio real y mayor volatilidad cambiaría de manera abrupta</w:t>
      </w:r>
      <w:r w:rsidR="00E9600B" w:rsidRPr="00FD1DC0">
        <w:rPr>
          <w:rFonts w:ascii="Times New Roman" w:hAnsi="Times New Roman" w:cs="Times New Roman"/>
          <w:lang w:val="es-BO"/>
        </w:rPr>
        <w:t xml:space="preserve">. </w:t>
      </w:r>
      <w:r w:rsidR="008E1651" w:rsidRPr="00FD1DC0">
        <w:rPr>
          <w:rFonts w:ascii="Times New Roman" w:hAnsi="Times New Roman" w:cs="Times New Roman"/>
          <w:lang w:val="es-BO"/>
        </w:rPr>
        <w:t xml:space="preserve">Por otro lado, como la suma de los valores que se encuentran en la diagonal opuesta a la traza de la </w:t>
      </w:r>
      <w:r w:rsidR="006264CD" w:rsidRPr="00FD1DC0">
        <w:rPr>
          <w:rFonts w:ascii="Times New Roman" w:hAnsi="Times New Roman" w:cs="Times New Roman"/>
          <w:lang w:val="es-BO"/>
        </w:rPr>
        <w:t>matriz de probabilidades de transición en México y Brasil supera el valor numérico de 0.8, ello implicaría que cualquier choque sobre la apreciación del tipo de cambio real se disiparía rápidamente.</w:t>
      </w:r>
    </w:p>
    <w:p w14:paraId="6B884D0C" w14:textId="5C41868B" w:rsidR="00364CFE" w:rsidRPr="005D5BAC" w:rsidRDefault="00C056DF" w:rsidP="005D5BAC">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Por ejemplo, en las gráficas </w:t>
      </w:r>
      <w:r w:rsidR="00492148" w:rsidRPr="00FD1DC0">
        <w:rPr>
          <w:rFonts w:ascii="Times New Roman" w:hAnsi="Times New Roman" w:cs="Times New Roman"/>
          <w:lang w:val="es-BO"/>
        </w:rPr>
        <w:t>10 y 11</w:t>
      </w:r>
      <w:r w:rsidRPr="00FD1DC0">
        <w:rPr>
          <w:rFonts w:ascii="Times New Roman" w:hAnsi="Times New Roman" w:cs="Times New Roman"/>
          <w:lang w:val="es-BO"/>
        </w:rPr>
        <w:t>, si tomamos en cuenta las primeras graficas de la parte superior del lado izquierdo, confirmaríamos que la respuesta sin acumular o de corto plazo de la apreciación del tipo de cambio real de ambos países debido al impulso de un shock equivalente al valor de una unidad de desviación estándar en la tasa de interés de política monetaria de ambos países es negativa y además significativa, habiendo una diferencia en términos de duración de ambos países, quedando claro por la forma de los intervalos de confianza que el efecto de una mayor apreciación del tipo de cambio real es mayor en términos de duración en México respecto a Brasil, la misma quizás se deba al hecho a que el Banxico aplica de manera más rigurosa y goza de mayor autonomía respecto a la autoridad monetaria de Brasil</w:t>
      </w:r>
      <w:r w:rsidR="002550D1" w:rsidRPr="00FD1DC0">
        <w:rPr>
          <w:rFonts w:ascii="Times New Roman" w:hAnsi="Times New Roman" w:cs="Times New Roman"/>
          <w:lang w:val="es-BO"/>
        </w:rPr>
        <w:t>. De manera análoga se haría el análisis respecto a las funciones impulso respuesta de corto plazo respecto a la tasa de inflación y la contracción del crédito interno neto</w:t>
      </w:r>
      <w:r w:rsidR="003B67F8" w:rsidRPr="00FD1DC0">
        <w:rPr>
          <w:rFonts w:ascii="Times New Roman" w:hAnsi="Times New Roman" w:cs="Times New Roman"/>
          <w:lang w:val="es-BO"/>
        </w:rPr>
        <w:t>, guardando en la misma por la forma y significancia de las funciones impulso respuesta una relación directa</w:t>
      </w:r>
      <w:r w:rsidR="002550D1" w:rsidRPr="00FD1DC0">
        <w:rPr>
          <w:rFonts w:ascii="Times New Roman" w:hAnsi="Times New Roman" w:cs="Times New Roman"/>
          <w:lang w:val="es-BO"/>
        </w:rPr>
        <w:t>.</w:t>
      </w:r>
    </w:p>
    <w:p w14:paraId="786997B3" w14:textId="3D1DF029" w:rsidR="00D570D1" w:rsidRPr="00FD1DC0" w:rsidRDefault="00492148" w:rsidP="00E13E34">
      <w:pPr>
        <w:spacing w:after="0" w:line="240" w:lineRule="auto"/>
        <w:ind w:left="3935" w:right="181" w:hanging="3754"/>
        <w:jc w:val="center"/>
        <w:rPr>
          <w:b/>
          <w:sz w:val="20"/>
          <w:szCs w:val="20"/>
          <w:lang w:val="es-BO"/>
        </w:rPr>
      </w:pPr>
      <w:r w:rsidRPr="00FD1DC0">
        <w:rPr>
          <w:b/>
          <w:sz w:val="20"/>
          <w:szCs w:val="20"/>
          <w:lang w:val="es-BO"/>
        </w:rPr>
        <w:t>Gráfico 10</w:t>
      </w:r>
      <w:r w:rsidR="00D570D1" w:rsidRPr="00FD1DC0">
        <w:rPr>
          <w:b/>
          <w:sz w:val="20"/>
          <w:szCs w:val="20"/>
          <w:lang w:val="es-BO"/>
        </w:rPr>
        <w:t>. (Función impulso respuesta sin acumular)</w:t>
      </w:r>
      <w:r w:rsidR="006C4C3B" w:rsidRPr="00FD1DC0">
        <w:rPr>
          <w:b/>
          <w:sz w:val="20"/>
          <w:szCs w:val="20"/>
          <w:lang w:val="es-BO"/>
        </w:rPr>
        <w:t xml:space="preserve"> de la Volatilidad Cambiaria</w:t>
      </w:r>
      <w:r w:rsidR="000B18BB" w:rsidRPr="00FD1DC0">
        <w:rPr>
          <w:b/>
          <w:sz w:val="20"/>
          <w:szCs w:val="20"/>
          <w:lang w:val="es-BO"/>
        </w:rPr>
        <w:t xml:space="preserve"> Real</w:t>
      </w:r>
    </w:p>
    <w:p w14:paraId="5DE12AF2" w14:textId="3A15A94B" w:rsidR="006C4C3B" w:rsidRPr="00FD1DC0" w:rsidRDefault="006C4C3B" w:rsidP="00E13E34">
      <w:pPr>
        <w:spacing w:after="0" w:line="240" w:lineRule="auto"/>
        <w:ind w:left="3935" w:right="181" w:hanging="3754"/>
        <w:jc w:val="center"/>
        <w:rPr>
          <w:b/>
          <w:sz w:val="20"/>
          <w:szCs w:val="20"/>
          <w:lang w:val="es-BO"/>
        </w:rPr>
      </w:pPr>
      <w:r w:rsidRPr="00FD1DC0">
        <w:rPr>
          <w:b/>
          <w:sz w:val="20"/>
          <w:szCs w:val="20"/>
          <w:lang w:val="es-BO"/>
        </w:rPr>
        <w:t>En México re</w:t>
      </w:r>
      <w:r w:rsidR="000B18BB" w:rsidRPr="00FD1DC0">
        <w:rPr>
          <w:b/>
          <w:sz w:val="20"/>
          <w:szCs w:val="20"/>
          <w:lang w:val="es-BO"/>
        </w:rPr>
        <w:t>specto a la tasa de interés</w:t>
      </w:r>
      <w:r w:rsidRPr="00FD1DC0">
        <w:rPr>
          <w:b/>
          <w:sz w:val="20"/>
          <w:szCs w:val="20"/>
          <w:lang w:val="es-BO"/>
        </w:rPr>
        <w:t xml:space="preserve"> (izquierda arriba), </w:t>
      </w:r>
    </w:p>
    <w:p w14:paraId="4A4B7EED" w14:textId="12A5FDA6" w:rsidR="006C4C3B" w:rsidRPr="00FD1DC0" w:rsidRDefault="000B18BB" w:rsidP="00E13E34">
      <w:pPr>
        <w:spacing w:after="0" w:line="240" w:lineRule="auto"/>
        <w:ind w:left="3935" w:right="181" w:hanging="3754"/>
        <w:jc w:val="center"/>
        <w:rPr>
          <w:b/>
          <w:sz w:val="20"/>
          <w:szCs w:val="20"/>
          <w:lang w:val="es-BO"/>
        </w:rPr>
      </w:pPr>
      <w:r w:rsidRPr="00FD1DC0">
        <w:rPr>
          <w:b/>
          <w:sz w:val="20"/>
          <w:szCs w:val="20"/>
          <w:lang w:val="es-BO"/>
        </w:rPr>
        <w:t>Reservas internacionales</w:t>
      </w:r>
      <w:r w:rsidR="006C4C3B" w:rsidRPr="00FD1DC0">
        <w:rPr>
          <w:b/>
          <w:sz w:val="20"/>
          <w:szCs w:val="20"/>
          <w:lang w:val="es-BO"/>
        </w:rPr>
        <w:t xml:space="preserve"> (</w:t>
      </w:r>
      <w:r w:rsidR="007242FB" w:rsidRPr="00FD1DC0">
        <w:rPr>
          <w:b/>
          <w:sz w:val="20"/>
          <w:szCs w:val="20"/>
          <w:lang w:val="es-BO"/>
        </w:rPr>
        <w:t>centro</w:t>
      </w:r>
      <w:r w:rsidRPr="00FD1DC0">
        <w:rPr>
          <w:b/>
          <w:sz w:val="20"/>
          <w:szCs w:val="20"/>
          <w:lang w:val="es-BO"/>
        </w:rPr>
        <w:t xml:space="preserve"> arriba), deuda interna</w:t>
      </w:r>
      <w:r w:rsidR="007242FB" w:rsidRPr="00FD1DC0">
        <w:rPr>
          <w:b/>
          <w:sz w:val="20"/>
          <w:szCs w:val="20"/>
          <w:lang w:val="es-BO"/>
        </w:rPr>
        <w:t xml:space="preserve"> (derecha arriba</w:t>
      </w:r>
      <w:r w:rsidR="006C4C3B" w:rsidRPr="00FD1DC0">
        <w:rPr>
          <w:b/>
          <w:sz w:val="20"/>
          <w:szCs w:val="20"/>
          <w:lang w:val="es-BO"/>
        </w:rPr>
        <w:t xml:space="preserve">) </w:t>
      </w:r>
    </w:p>
    <w:p w14:paraId="3F30FE37" w14:textId="78B30A2B" w:rsidR="006C4C3B" w:rsidRPr="00FD1DC0" w:rsidRDefault="000B18BB" w:rsidP="00E13E34">
      <w:pPr>
        <w:spacing w:after="0" w:line="240" w:lineRule="auto"/>
        <w:ind w:left="3935" w:right="181" w:hanging="3754"/>
        <w:jc w:val="center"/>
        <w:rPr>
          <w:b/>
          <w:sz w:val="20"/>
          <w:szCs w:val="20"/>
          <w:lang w:val="es-BO"/>
        </w:rPr>
      </w:pPr>
      <w:r w:rsidRPr="00FD1DC0">
        <w:rPr>
          <w:b/>
          <w:sz w:val="20"/>
          <w:szCs w:val="20"/>
          <w:lang w:val="es-BO"/>
        </w:rPr>
        <w:t>Tasa de inflación</w:t>
      </w:r>
      <w:r w:rsidR="007242FB" w:rsidRPr="00FD1DC0">
        <w:rPr>
          <w:b/>
          <w:sz w:val="20"/>
          <w:szCs w:val="20"/>
          <w:lang w:val="es-BO"/>
        </w:rPr>
        <w:t xml:space="preserve"> (izquierda</w:t>
      </w:r>
      <w:r w:rsidR="006C4C3B" w:rsidRPr="00FD1DC0">
        <w:rPr>
          <w:b/>
          <w:sz w:val="20"/>
          <w:szCs w:val="20"/>
          <w:lang w:val="es-BO"/>
        </w:rPr>
        <w:t xml:space="preserve"> abajo)</w:t>
      </w:r>
      <w:r w:rsidRPr="00FD1DC0">
        <w:rPr>
          <w:b/>
          <w:sz w:val="20"/>
          <w:szCs w:val="20"/>
          <w:lang w:val="es-BO"/>
        </w:rPr>
        <w:t xml:space="preserve"> y Crédito interno neto (</w:t>
      </w:r>
      <w:r w:rsidR="007242FB" w:rsidRPr="00FD1DC0">
        <w:rPr>
          <w:b/>
          <w:sz w:val="20"/>
          <w:szCs w:val="20"/>
          <w:lang w:val="es-BO"/>
        </w:rPr>
        <w:t xml:space="preserve">derecha </w:t>
      </w:r>
      <w:r w:rsidRPr="00FD1DC0">
        <w:rPr>
          <w:b/>
          <w:sz w:val="20"/>
          <w:szCs w:val="20"/>
          <w:lang w:val="es-BO"/>
        </w:rPr>
        <w:t>abajo)</w:t>
      </w:r>
    </w:p>
    <w:p w14:paraId="682F3CD0" w14:textId="3045A0C7" w:rsidR="00D570D1" w:rsidRPr="00FD1DC0" w:rsidRDefault="001E06EA" w:rsidP="00E415A5">
      <w:pPr>
        <w:spacing w:after="56" w:line="216" w:lineRule="auto"/>
        <w:ind w:left="3931" w:right="179" w:hanging="3752"/>
        <w:jc w:val="center"/>
        <w:rPr>
          <w:b/>
          <w:sz w:val="20"/>
          <w:lang w:val="es-BO"/>
        </w:rPr>
      </w:pPr>
      <w:r w:rsidRPr="00FD1DC0">
        <w:rPr>
          <w:b/>
          <w:noProof/>
          <w:sz w:val="20"/>
        </w:rPr>
        <w:drawing>
          <wp:inline distT="0" distB="0" distL="0" distR="0" wp14:anchorId="00050C7F" wp14:editId="06CF273A">
            <wp:extent cx="5586730" cy="1739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9148" cy="1743767"/>
                    </a:xfrm>
                    <a:prstGeom prst="rect">
                      <a:avLst/>
                    </a:prstGeom>
                    <a:noFill/>
                    <a:ln>
                      <a:noFill/>
                    </a:ln>
                  </pic:spPr>
                </pic:pic>
              </a:graphicData>
            </a:graphic>
          </wp:inline>
        </w:drawing>
      </w:r>
    </w:p>
    <w:p w14:paraId="4C44F029" w14:textId="71B1D4B0" w:rsidR="00F56572" w:rsidRPr="00FD1DC0" w:rsidRDefault="00D570D1" w:rsidP="001F36D8">
      <w:pPr>
        <w:spacing w:after="56" w:line="216" w:lineRule="auto"/>
        <w:ind w:left="3931" w:right="179" w:hanging="3752"/>
        <w:jc w:val="center"/>
        <w:rPr>
          <w:b/>
          <w:sz w:val="20"/>
          <w:lang w:val="es-BO"/>
        </w:rPr>
      </w:pPr>
      <w:r w:rsidRPr="00FD1DC0">
        <w:rPr>
          <w:b/>
          <w:sz w:val="16"/>
          <w:lang w:val="es-BO"/>
        </w:rPr>
        <w:t>Fuente: Elaboración propia</w:t>
      </w:r>
      <w:r w:rsidRPr="00FD1DC0">
        <w:rPr>
          <w:b/>
          <w:sz w:val="20"/>
          <w:lang w:val="es-BO"/>
        </w:rPr>
        <w:t xml:space="preserve"> </w:t>
      </w:r>
    </w:p>
    <w:p w14:paraId="3B96EB77" w14:textId="77777777" w:rsidR="00FF5A55" w:rsidRDefault="00FF5A55" w:rsidP="00E13E34">
      <w:pPr>
        <w:spacing w:after="0" w:line="240" w:lineRule="auto"/>
        <w:ind w:left="3935" w:right="181" w:hanging="3754"/>
        <w:jc w:val="center"/>
        <w:rPr>
          <w:b/>
          <w:sz w:val="20"/>
          <w:szCs w:val="20"/>
          <w:lang w:val="es-BO"/>
        </w:rPr>
      </w:pPr>
    </w:p>
    <w:p w14:paraId="1E431C25" w14:textId="77777777" w:rsidR="00FF5A55" w:rsidRDefault="00FF5A55" w:rsidP="00E13E34">
      <w:pPr>
        <w:spacing w:after="0" w:line="240" w:lineRule="auto"/>
        <w:ind w:left="3935" w:right="181" w:hanging="3754"/>
        <w:jc w:val="center"/>
        <w:rPr>
          <w:b/>
          <w:sz w:val="20"/>
          <w:szCs w:val="20"/>
          <w:lang w:val="es-BO"/>
        </w:rPr>
      </w:pPr>
    </w:p>
    <w:p w14:paraId="08186E9A" w14:textId="77777777" w:rsidR="00FF5A55" w:rsidRDefault="00FF5A55" w:rsidP="00E13E34">
      <w:pPr>
        <w:spacing w:after="0" w:line="240" w:lineRule="auto"/>
        <w:ind w:left="3935" w:right="181" w:hanging="3754"/>
        <w:jc w:val="center"/>
        <w:rPr>
          <w:b/>
          <w:sz w:val="20"/>
          <w:szCs w:val="20"/>
          <w:lang w:val="es-BO"/>
        </w:rPr>
      </w:pPr>
    </w:p>
    <w:p w14:paraId="1E4B8CAF" w14:textId="570F7C17" w:rsidR="005400F9" w:rsidRPr="00FD1DC0" w:rsidRDefault="00492148" w:rsidP="00E13E34">
      <w:pPr>
        <w:spacing w:after="0" w:line="240" w:lineRule="auto"/>
        <w:ind w:left="3935" w:right="181" w:hanging="3754"/>
        <w:jc w:val="center"/>
        <w:rPr>
          <w:b/>
          <w:sz w:val="20"/>
          <w:szCs w:val="20"/>
          <w:lang w:val="es-BO"/>
        </w:rPr>
      </w:pPr>
      <w:r w:rsidRPr="00FD1DC0">
        <w:rPr>
          <w:b/>
          <w:sz w:val="20"/>
          <w:szCs w:val="20"/>
          <w:lang w:val="es-BO"/>
        </w:rPr>
        <w:t>Gráfico 11</w:t>
      </w:r>
      <w:r w:rsidR="005400F9" w:rsidRPr="00FD1DC0">
        <w:rPr>
          <w:b/>
          <w:sz w:val="20"/>
          <w:szCs w:val="20"/>
          <w:lang w:val="es-BO"/>
        </w:rPr>
        <w:t>. (Función impulso respuesta sin acumular) de la Volatilidad Cambiaria Real</w:t>
      </w:r>
    </w:p>
    <w:p w14:paraId="5360D809" w14:textId="532D7A12" w:rsidR="005400F9" w:rsidRPr="00FD1DC0" w:rsidRDefault="005400F9" w:rsidP="00E13E34">
      <w:pPr>
        <w:spacing w:after="0" w:line="240" w:lineRule="auto"/>
        <w:ind w:left="3935" w:right="181" w:hanging="3754"/>
        <w:jc w:val="center"/>
        <w:rPr>
          <w:b/>
          <w:sz w:val="20"/>
          <w:szCs w:val="20"/>
          <w:lang w:val="es-BO"/>
        </w:rPr>
      </w:pPr>
      <w:r w:rsidRPr="00FD1DC0">
        <w:rPr>
          <w:b/>
          <w:sz w:val="20"/>
          <w:szCs w:val="20"/>
          <w:lang w:val="es-BO"/>
        </w:rPr>
        <w:t xml:space="preserve">En Brasil respecto a la tasa de interés (izquierda arriba), </w:t>
      </w:r>
    </w:p>
    <w:p w14:paraId="454CAF88" w14:textId="77777777" w:rsidR="005400F9" w:rsidRPr="00FD1DC0" w:rsidRDefault="005400F9" w:rsidP="00E13E34">
      <w:pPr>
        <w:spacing w:after="0" w:line="240" w:lineRule="auto"/>
        <w:ind w:left="3935" w:right="181" w:hanging="3754"/>
        <w:jc w:val="center"/>
        <w:rPr>
          <w:b/>
          <w:sz w:val="20"/>
          <w:szCs w:val="20"/>
          <w:lang w:val="es-BO"/>
        </w:rPr>
      </w:pPr>
      <w:r w:rsidRPr="00FD1DC0">
        <w:rPr>
          <w:b/>
          <w:sz w:val="20"/>
          <w:szCs w:val="20"/>
          <w:lang w:val="es-BO"/>
        </w:rPr>
        <w:t xml:space="preserve">Reservas internacionales (centro arriba), deuda interna (derecha arriba) </w:t>
      </w:r>
    </w:p>
    <w:p w14:paraId="29F6BB37" w14:textId="77777777" w:rsidR="005400F9" w:rsidRPr="00FD1DC0" w:rsidRDefault="005400F9" w:rsidP="00E13E34">
      <w:pPr>
        <w:spacing w:after="0" w:line="240" w:lineRule="auto"/>
        <w:ind w:left="3935" w:right="181" w:hanging="3754"/>
        <w:jc w:val="center"/>
        <w:rPr>
          <w:b/>
          <w:sz w:val="20"/>
          <w:szCs w:val="20"/>
          <w:lang w:val="es-BO"/>
        </w:rPr>
      </w:pPr>
      <w:r w:rsidRPr="00FD1DC0">
        <w:rPr>
          <w:b/>
          <w:sz w:val="20"/>
          <w:szCs w:val="20"/>
          <w:lang w:val="es-BO"/>
        </w:rPr>
        <w:t>Tasa de inflación (izquierda abajo) y Crédito interno neto (derecha abajo)</w:t>
      </w:r>
    </w:p>
    <w:p w14:paraId="0D8B9DC8" w14:textId="764A3D6D" w:rsidR="00D570D1" w:rsidRPr="00FD1DC0" w:rsidRDefault="00A97DD7" w:rsidP="006D7D4B">
      <w:pPr>
        <w:spacing w:after="56" w:line="216" w:lineRule="auto"/>
        <w:ind w:left="3931" w:right="179" w:hanging="3752"/>
        <w:jc w:val="center"/>
        <w:rPr>
          <w:b/>
          <w:sz w:val="20"/>
          <w:szCs w:val="20"/>
          <w:lang w:val="es-BO"/>
        </w:rPr>
      </w:pPr>
      <w:r w:rsidRPr="00FD1DC0">
        <w:rPr>
          <w:b/>
          <w:noProof/>
          <w:sz w:val="20"/>
          <w:szCs w:val="20"/>
        </w:rPr>
        <w:drawing>
          <wp:inline distT="0" distB="0" distL="0" distR="0" wp14:anchorId="20F62B56" wp14:editId="142F5A5D">
            <wp:extent cx="5008880" cy="13843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2921" cy="1393708"/>
                    </a:xfrm>
                    <a:prstGeom prst="rect">
                      <a:avLst/>
                    </a:prstGeom>
                    <a:noFill/>
                    <a:ln>
                      <a:noFill/>
                    </a:ln>
                  </pic:spPr>
                </pic:pic>
              </a:graphicData>
            </a:graphic>
          </wp:inline>
        </w:drawing>
      </w:r>
    </w:p>
    <w:p w14:paraId="019058A1" w14:textId="502A1054" w:rsidR="001A4C8B" w:rsidRPr="00FD1DC0" w:rsidRDefault="001A4C8B" w:rsidP="00600E5B">
      <w:pPr>
        <w:spacing w:after="56" w:line="216" w:lineRule="auto"/>
        <w:ind w:left="3931" w:right="179" w:hanging="3752"/>
        <w:jc w:val="center"/>
        <w:rPr>
          <w:b/>
          <w:sz w:val="20"/>
          <w:lang w:val="es-BO"/>
        </w:rPr>
      </w:pPr>
      <w:r w:rsidRPr="00FD1DC0">
        <w:rPr>
          <w:b/>
          <w:sz w:val="16"/>
          <w:lang w:val="es-BO"/>
        </w:rPr>
        <w:t>Fuente: Elaboración propia</w:t>
      </w:r>
      <w:r w:rsidRPr="00FD1DC0">
        <w:rPr>
          <w:b/>
          <w:sz w:val="20"/>
          <w:lang w:val="es-BO"/>
        </w:rPr>
        <w:t xml:space="preserve"> </w:t>
      </w:r>
    </w:p>
    <w:p w14:paraId="06887F0C" w14:textId="48BE842C" w:rsidR="00731026" w:rsidRPr="00FD1DC0" w:rsidRDefault="00492148" w:rsidP="00731026">
      <w:pPr>
        <w:pStyle w:val="Ttulo4"/>
        <w:ind w:right="710"/>
        <w:rPr>
          <w:lang w:val="es-BO"/>
        </w:rPr>
      </w:pPr>
      <w:r w:rsidRPr="00FD1DC0">
        <w:rPr>
          <w:lang w:val="es-BO"/>
        </w:rPr>
        <w:t>Gráfico 12</w:t>
      </w:r>
      <w:r w:rsidR="00E9600B" w:rsidRPr="00FD1DC0">
        <w:rPr>
          <w:lang w:val="es-BO"/>
        </w:rPr>
        <w:t xml:space="preserve"> Probabil</w:t>
      </w:r>
      <w:r w:rsidR="006F1F31" w:rsidRPr="00FD1DC0">
        <w:rPr>
          <w:lang w:val="es-BO"/>
        </w:rPr>
        <w:t>idad de estar en un estado de baja</w:t>
      </w:r>
      <w:r w:rsidR="00644EC6" w:rsidRPr="00FD1DC0">
        <w:rPr>
          <w:lang w:val="es-BO"/>
        </w:rPr>
        <w:t xml:space="preserve"> volatilidad</w:t>
      </w:r>
      <w:r w:rsidR="00792F9D" w:rsidRPr="00FD1DC0">
        <w:rPr>
          <w:lang w:val="es-BO"/>
        </w:rPr>
        <w:t xml:space="preserve"> México</w:t>
      </w:r>
      <w:r w:rsidR="00644EC6" w:rsidRPr="00FD1DC0">
        <w:rPr>
          <w:lang w:val="es-BO"/>
        </w:rPr>
        <w:t xml:space="preserve"> (arriba izquierda</w:t>
      </w:r>
      <w:r w:rsidR="00E9600B" w:rsidRPr="00FD1DC0">
        <w:rPr>
          <w:lang w:val="es-BO"/>
        </w:rPr>
        <w:t xml:space="preserve">), probabilidad de estar en un estado de </w:t>
      </w:r>
      <w:r w:rsidR="00731026" w:rsidRPr="00FD1DC0">
        <w:rPr>
          <w:lang w:val="es-BO"/>
        </w:rPr>
        <w:t>ba</w:t>
      </w:r>
      <w:r w:rsidR="00644EC6" w:rsidRPr="00FD1DC0">
        <w:rPr>
          <w:lang w:val="es-BO"/>
        </w:rPr>
        <w:t>ja volatilidad (</w:t>
      </w:r>
      <w:r w:rsidR="006F1F31" w:rsidRPr="00FD1DC0">
        <w:rPr>
          <w:lang w:val="es-BO"/>
        </w:rPr>
        <w:t xml:space="preserve">arriba </w:t>
      </w:r>
      <w:r w:rsidR="00644EC6" w:rsidRPr="00FD1DC0">
        <w:rPr>
          <w:lang w:val="es-BO"/>
        </w:rPr>
        <w:t>derecha</w:t>
      </w:r>
      <w:r w:rsidR="00E9600B" w:rsidRPr="00FD1DC0">
        <w:rPr>
          <w:lang w:val="es-BO"/>
        </w:rPr>
        <w:t xml:space="preserve">) </w:t>
      </w:r>
      <w:r w:rsidR="00CD439D" w:rsidRPr="00FD1DC0">
        <w:rPr>
          <w:lang w:val="es-BO"/>
        </w:rPr>
        <w:t>y abajo (gradientes de la función objetivo)</w:t>
      </w:r>
    </w:p>
    <w:p w14:paraId="3D7E99B2" w14:textId="388BC452" w:rsidR="00644EC6" w:rsidRPr="00FD1DC0" w:rsidRDefault="006F1F31" w:rsidP="00644EC6">
      <w:pPr>
        <w:spacing w:after="56" w:line="216" w:lineRule="auto"/>
        <w:ind w:left="3931" w:right="179" w:hanging="3260"/>
        <w:jc w:val="center"/>
        <w:rPr>
          <w:noProof/>
        </w:rPr>
      </w:pPr>
      <w:r w:rsidRPr="00FD1DC0">
        <w:rPr>
          <w:noProof/>
        </w:rPr>
        <w:drawing>
          <wp:inline distT="0" distB="0" distL="0" distR="0" wp14:anchorId="211402DD" wp14:editId="1C75BF62">
            <wp:extent cx="4779645" cy="1339850"/>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91172" cy="1343081"/>
                    </a:xfrm>
                    <a:prstGeom prst="rect">
                      <a:avLst/>
                    </a:prstGeom>
                    <a:noFill/>
                    <a:ln>
                      <a:noFill/>
                    </a:ln>
                  </pic:spPr>
                </pic:pic>
              </a:graphicData>
            </a:graphic>
          </wp:inline>
        </w:drawing>
      </w:r>
    </w:p>
    <w:p w14:paraId="0B9B69AE" w14:textId="0CA747D3" w:rsidR="00073EB4" w:rsidRPr="00FD1DC0" w:rsidRDefault="00073EB4" w:rsidP="00644EC6">
      <w:pPr>
        <w:spacing w:after="56" w:line="216" w:lineRule="auto"/>
        <w:ind w:left="3931" w:right="179" w:hanging="3260"/>
        <w:jc w:val="center"/>
        <w:rPr>
          <w:b/>
          <w:sz w:val="16"/>
          <w:lang w:val="es-BO"/>
        </w:rPr>
      </w:pPr>
      <w:r w:rsidRPr="00FD1DC0">
        <w:rPr>
          <w:b/>
          <w:sz w:val="16"/>
          <w:lang w:val="es-BO"/>
        </w:rPr>
        <w:t>Fuente: Elaboración propia</w:t>
      </w:r>
    </w:p>
    <w:p w14:paraId="6A8DAAFF" w14:textId="1325A98C" w:rsidR="00792F9D" w:rsidRPr="00FD1DC0" w:rsidRDefault="00792F9D" w:rsidP="00792F9D">
      <w:pPr>
        <w:pStyle w:val="Ttulo4"/>
        <w:ind w:right="710"/>
        <w:rPr>
          <w:lang w:val="es-BO"/>
        </w:rPr>
      </w:pPr>
      <w:r w:rsidRPr="00FD1DC0">
        <w:rPr>
          <w:lang w:val="es-BO"/>
        </w:rPr>
        <w:t>Gráfico 13 Componentes permanentes y transitorios del tipo de cambio real en México en primeras diferencias (arriba izquierda); Prueba de linealidad gráfica de un modelo con dos umbrales (arriba derecha) y abajo gradientes de la función objetivo del modelo de cambios de régimen con dos estados</w:t>
      </w:r>
    </w:p>
    <w:p w14:paraId="57E5D76B" w14:textId="0721DDB4" w:rsidR="00792F9D" w:rsidRPr="00FD1DC0" w:rsidRDefault="00792F9D" w:rsidP="00792F9D">
      <w:pPr>
        <w:spacing w:after="56" w:line="216" w:lineRule="auto"/>
        <w:ind w:left="3931" w:right="179" w:hanging="3260"/>
        <w:jc w:val="center"/>
        <w:rPr>
          <w:noProof/>
        </w:rPr>
      </w:pPr>
      <w:r w:rsidRPr="00FD1DC0">
        <w:rPr>
          <w:noProof/>
        </w:rPr>
        <w:drawing>
          <wp:inline distT="0" distB="0" distL="0" distR="0" wp14:anchorId="179C01B0" wp14:editId="2D432862">
            <wp:extent cx="5274310" cy="143510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3534" cy="1456656"/>
                    </a:xfrm>
                    <a:prstGeom prst="rect">
                      <a:avLst/>
                    </a:prstGeom>
                    <a:noFill/>
                    <a:ln>
                      <a:noFill/>
                    </a:ln>
                  </pic:spPr>
                </pic:pic>
              </a:graphicData>
            </a:graphic>
          </wp:inline>
        </w:drawing>
      </w:r>
    </w:p>
    <w:p w14:paraId="087B13B1" w14:textId="5AE3CFCD" w:rsidR="00792F9D" w:rsidRPr="00FD1DC0" w:rsidRDefault="00792F9D" w:rsidP="00FF5A55">
      <w:pPr>
        <w:spacing w:after="56" w:line="216" w:lineRule="auto"/>
        <w:ind w:left="3931" w:right="179" w:hanging="3260"/>
        <w:jc w:val="center"/>
        <w:rPr>
          <w:noProof/>
        </w:rPr>
      </w:pPr>
      <w:r w:rsidRPr="00FD1DC0">
        <w:rPr>
          <w:b/>
          <w:sz w:val="16"/>
          <w:lang w:val="es-BO"/>
        </w:rPr>
        <w:t>Fuente: Elaboración propia</w:t>
      </w:r>
    </w:p>
    <w:p w14:paraId="3CDB0D31" w14:textId="59926605" w:rsidR="00644EC6" w:rsidRPr="00FD1DC0" w:rsidRDefault="006F1F31" w:rsidP="00CD439D">
      <w:pPr>
        <w:spacing w:after="56" w:line="216" w:lineRule="auto"/>
        <w:ind w:left="3931" w:right="179" w:hanging="3260"/>
        <w:jc w:val="center"/>
        <w:rPr>
          <w:noProof/>
        </w:rPr>
      </w:pPr>
      <w:r w:rsidRPr="00FD1DC0">
        <w:rPr>
          <w:noProof/>
        </w:rPr>
        <w:drawing>
          <wp:inline distT="0" distB="0" distL="0" distR="0" wp14:anchorId="38A44752" wp14:editId="7CB8E799">
            <wp:extent cx="4889500" cy="2038350"/>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89500" cy="2038350"/>
                    </a:xfrm>
                    <a:prstGeom prst="rect">
                      <a:avLst/>
                    </a:prstGeom>
                    <a:noFill/>
                    <a:ln>
                      <a:noFill/>
                    </a:ln>
                  </pic:spPr>
                </pic:pic>
              </a:graphicData>
            </a:graphic>
          </wp:inline>
        </w:drawing>
      </w:r>
    </w:p>
    <w:p w14:paraId="24E1610B" w14:textId="191A5F27" w:rsidR="00746790" w:rsidRPr="00FD1DC0" w:rsidRDefault="00E415A5" w:rsidP="00FF5A5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6B5D7270" w14:textId="5C49B604" w:rsidR="007630F8" w:rsidRPr="00FD1DC0" w:rsidRDefault="007E0CD2" w:rsidP="00FF5A55">
      <w:pPr>
        <w:spacing w:after="0" w:line="360" w:lineRule="auto"/>
        <w:ind w:right="533"/>
        <w:rPr>
          <w:rFonts w:ascii="Times New Roman" w:hAnsi="Times New Roman" w:cs="Times New Roman"/>
          <w:lang w:val="es-BO"/>
        </w:rPr>
      </w:pPr>
      <w:r w:rsidRPr="00FD1DC0">
        <w:rPr>
          <w:rFonts w:ascii="Times New Roman" w:hAnsi="Times New Roman" w:cs="Times New Roman"/>
          <w:lang w:val="es-BO"/>
        </w:rPr>
        <w:t xml:space="preserve">Asimismo, </w:t>
      </w:r>
      <w:r w:rsidR="00E9600B" w:rsidRPr="00FD1DC0">
        <w:rPr>
          <w:rFonts w:ascii="Times New Roman" w:hAnsi="Times New Roman" w:cs="Times New Roman"/>
          <w:lang w:val="es-BO"/>
        </w:rPr>
        <w:t>las gráficas</w:t>
      </w:r>
      <w:r w:rsidRPr="00FD1DC0">
        <w:rPr>
          <w:rFonts w:ascii="Times New Roman" w:hAnsi="Times New Roman" w:cs="Times New Roman"/>
          <w:lang w:val="es-BO"/>
        </w:rPr>
        <w:t xml:space="preserve"> </w:t>
      </w:r>
      <w:r w:rsidR="00E4724A" w:rsidRPr="00FD1DC0">
        <w:rPr>
          <w:rFonts w:ascii="Times New Roman" w:hAnsi="Times New Roman" w:cs="Times New Roman"/>
          <w:lang w:val="es-BO"/>
        </w:rPr>
        <w:t>12</w:t>
      </w:r>
      <w:r w:rsidR="00E9600B" w:rsidRPr="00FD1DC0">
        <w:rPr>
          <w:rFonts w:ascii="Times New Roman" w:hAnsi="Times New Roman" w:cs="Times New Roman"/>
          <w:lang w:val="es-BO"/>
        </w:rPr>
        <w:t xml:space="preserve"> </w:t>
      </w:r>
      <w:r w:rsidR="005E7FBA" w:rsidRPr="00FD1DC0">
        <w:rPr>
          <w:rFonts w:ascii="Times New Roman" w:hAnsi="Times New Roman" w:cs="Times New Roman"/>
          <w:lang w:val="es-BO"/>
        </w:rPr>
        <w:t>y 14</w:t>
      </w:r>
      <w:r w:rsidRPr="00FD1DC0">
        <w:rPr>
          <w:rFonts w:ascii="Times New Roman" w:hAnsi="Times New Roman" w:cs="Times New Roman"/>
          <w:lang w:val="es-BO"/>
        </w:rPr>
        <w:t xml:space="preserve"> nos brindan </w:t>
      </w:r>
      <w:r w:rsidR="00E9600B" w:rsidRPr="00FD1DC0">
        <w:rPr>
          <w:rFonts w:ascii="Times New Roman" w:hAnsi="Times New Roman" w:cs="Times New Roman"/>
          <w:lang w:val="es-BO"/>
        </w:rPr>
        <w:t>información</w:t>
      </w:r>
      <w:r w:rsidR="00A84EF9" w:rsidRPr="00FD1DC0">
        <w:rPr>
          <w:rFonts w:ascii="Times New Roman" w:hAnsi="Times New Roman" w:cs="Times New Roman"/>
          <w:lang w:val="es-BO"/>
        </w:rPr>
        <w:t xml:space="preserve"> de manera grá</w:t>
      </w:r>
      <w:r w:rsidRPr="00FD1DC0">
        <w:rPr>
          <w:rFonts w:ascii="Times New Roman" w:hAnsi="Times New Roman" w:cs="Times New Roman"/>
          <w:lang w:val="es-BO"/>
        </w:rPr>
        <w:t>fica</w:t>
      </w:r>
      <w:r w:rsidR="00E9600B" w:rsidRPr="00FD1DC0">
        <w:rPr>
          <w:rFonts w:ascii="Times New Roman" w:hAnsi="Times New Roman" w:cs="Times New Roman"/>
          <w:lang w:val="es-BO"/>
        </w:rPr>
        <w:t xml:space="preserve"> con la metodología de los </w:t>
      </w:r>
      <w:r w:rsidR="00E9600B" w:rsidRPr="00FD1DC0">
        <w:rPr>
          <w:rFonts w:ascii="Times New Roman" w:hAnsi="Times New Roman" w:cs="Times New Roman"/>
          <w:i/>
          <w:lang w:val="es-BO"/>
        </w:rPr>
        <w:t xml:space="preserve">Switching Markov Regression Model, </w:t>
      </w:r>
      <w:r w:rsidR="00A84EF9" w:rsidRPr="00FD1DC0">
        <w:rPr>
          <w:rFonts w:ascii="Times New Roman" w:hAnsi="Times New Roman" w:cs="Times New Roman"/>
          <w:lang w:val="es-BO"/>
        </w:rPr>
        <w:t xml:space="preserve">de los episodios de apreciación cambiaria real y su respectiva volatilidad. Confirmándonos que, en gran parte de la muestra, para ser exactos en un 85.72% para el caso de México y de un 89.74% predominan los </w:t>
      </w:r>
      <w:r w:rsidR="002B18F2" w:rsidRPr="00FD1DC0">
        <w:rPr>
          <w:rFonts w:ascii="Times New Roman" w:hAnsi="Times New Roman" w:cs="Times New Roman"/>
          <w:lang w:val="es-BO"/>
        </w:rPr>
        <w:t>regímenes</w:t>
      </w:r>
      <w:r w:rsidR="00A84EF9" w:rsidRPr="00FD1DC0">
        <w:rPr>
          <w:rFonts w:ascii="Times New Roman" w:hAnsi="Times New Roman" w:cs="Times New Roman"/>
          <w:lang w:val="es-BO"/>
        </w:rPr>
        <w:t xml:space="preserve"> de baja volatilidad cambiaria</w:t>
      </w:r>
      <w:r w:rsidR="002B18F2" w:rsidRPr="00FD1DC0">
        <w:rPr>
          <w:rFonts w:ascii="Times New Roman" w:hAnsi="Times New Roman" w:cs="Times New Roman"/>
          <w:lang w:val="es-BO"/>
        </w:rPr>
        <w:t xml:space="preserve"> real y una mayor apreciación del tipo de cambio real en el periodo de aplicación del régimen de blancos de inflación</w:t>
      </w:r>
      <w:r w:rsidR="00A84EF9" w:rsidRPr="00FD1DC0">
        <w:rPr>
          <w:rFonts w:ascii="Times New Roman" w:hAnsi="Times New Roman" w:cs="Times New Roman"/>
          <w:lang w:val="es-BO"/>
        </w:rPr>
        <w:t xml:space="preserve">, </w:t>
      </w:r>
      <w:r w:rsidR="002B18F2" w:rsidRPr="00FD1DC0">
        <w:rPr>
          <w:rFonts w:ascii="Times New Roman" w:hAnsi="Times New Roman" w:cs="Times New Roman"/>
          <w:lang w:val="es-BO"/>
        </w:rPr>
        <w:t xml:space="preserve">comprobándose también de manera gráfica que el cumplimiento de la meta de inflación en México y Brasil es </w:t>
      </w:r>
      <w:r w:rsidR="00A84EF9" w:rsidRPr="00FD1DC0">
        <w:rPr>
          <w:rFonts w:ascii="Times New Roman" w:hAnsi="Times New Roman" w:cs="Times New Roman"/>
          <w:lang w:val="es-BO"/>
        </w:rPr>
        <w:t>explicado</w:t>
      </w:r>
      <w:r w:rsidR="002B18F2" w:rsidRPr="00FD1DC0">
        <w:rPr>
          <w:rFonts w:ascii="Times New Roman" w:hAnsi="Times New Roman" w:cs="Times New Roman"/>
          <w:lang w:val="es-BO"/>
        </w:rPr>
        <w:t xml:space="preserve"> en gran medida</w:t>
      </w:r>
      <w:r w:rsidR="00A84EF9" w:rsidRPr="00FD1DC0">
        <w:rPr>
          <w:rFonts w:ascii="Times New Roman" w:hAnsi="Times New Roman" w:cs="Times New Roman"/>
          <w:lang w:val="es-BO"/>
        </w:rPr>
        <w:t xml:space="preserve"> por la utilización de la interven</w:t>
      </w:r>
      <w:r w:rsidR="002B18F2" w:rsidRPr="00FD1DC0">
        <w:rPr>
          <w:rFonts w:ascii="Times New Roman" w:hAnsi="Times New Roman" w:cs="Times New Roman"/>
          <w:lang w:val="es-BO"/>
        </w:rPr>
        <w:t xml:space="preserve">ción en los mercados cambiarios, fruto de una sobreacumulación de reservas internacionales </w:t>
      </w:r>
      <w:r w:rsidR="00A84EF9" w:rsidRPr="00FD1DC0">
        <w:rPr>
          <w:rFonts w:ascii="Times New Roman" w:hAnsi="Times New Roman" w:cs="Times New Roman"/>
          <w:lang w:val="es-BO"/>
        </w:rPr>
        <w:t xml:space="preserve">en su intención de </w:t>
      </w:r>
      <w:r w:rsidR="002B18F2" w:rsidRPr="00FD1DC0">
        <w:rPr>
          <w:rFonts w:ascii="Times New Roman" w:hAnsi="Times New Roman" w:cs="Times New Roman"/>
          <w:lang w:val="es-BO"/>
        </w:rPr>
        <w:t>mantener el tipo de cambio nominal en la dirección deseada de la autoridad monetaria, pero no pudiendo evitar la mayor apreciación del tipo de cambio real</w:t>
      </w:r>
      <w:r w:rsidR="00A84EF9" w:rsidRPr="00FD1DC0">
        <w:rPr>
          <w:rFonts w:ascii="Times New Roman" w:hAnsi="Times New Roman" w:cs="Times New Roman"/>
          <w:lang w:val="es-BO"/>
        </w:rPr>
        <w:t>.</w:t>
      </w:r>
    </w:p>
    <w:p w14:paraId="4DA62A6D" w14:textId="630827DF" w:rsidR="00FE6F92" w:rsidRPr="00FD1DC0" w:rsidRDefault="00FE6F92" w:rsidP="00FE6F92">
      <w:pPr>
        <w:spacing w:after="0" w:line="360" w:lineRule="auto"/>
        <w:rPr>
          <w:rFonts w:ascii="Times New Roman" w:hAnsi="Times New Roman" w:cs="Times New Roman"/>
          <w:lang w:val="es-BO"/>
        </w:rPr>
      </w:pPr>
      <w:r w:rsidRPr="00FD1DC0">
        <w:rPr>
          <w:rFonts w:ascii="Times New Roman" w:hAnsi="Times New Roman" w:cs="Times New Roman"/>
          <w:lang w:val="es-BO"/>
        </w:rPr>
        <w:t xml:space="preserve">A su vez las gráficas 13 y 15 de México y Brasil respectivamente nos muestran algunas características importantes del comportamiento en primeras diferencias en la parte regular del tipo de cambio real en ambos </w:t>
      </w:r>
      <w:r w:rsidR="00920C11" w:rsidRPr="00FD1DC0">
        <w:rPr>
          <w:rFonts w:ascii="Times New Roman" w:hAnsi="Times New Roman" w:cs="Times New Roman"/>
          <w:lang w:val="es-BO"/>
        </w:rPr>
        <w:t>países</w:t>
      </w:r>
      <w:r w:rsidRPr="00FD1DC0">
        <w:rPr>
          <w:rFonts w:ascii="Times New Roman" w:hAnsi="Times New Roman" w:cs="Times New Roman"/>
          <w:lang w:val="es-BO"/>
        </w:rPr>
        <w:t xml:space="preserve">, en detalle nos muestra la simulación en la parte lineal, no lineal, la serie ajustada, la serie original y la variable de transición del tipo de cambio real en ambos </w:t>
      </w:r>
      <w:r w:rsidR="00920C11" w:rsidRPr="00FD1DC0">
        <w:rPr>
          <w:rFonts w:ascii="Times New Roman" w:hAnsi="Times New Roman" w:cs="Times New Roman"/>
          <w:lang w:val="es-BO"/>
        </w:rPr>
        <w:t>países</w:t>
      </w:r>
      <w:r w:rsidRPr="00FD1DC0">
        <w:rPr>
          <w:rFonts w:ascii="Times New Roman" w:hAnsi="Times New Roman" w:cs="Times New Roman"/>
          <w:lang w:val="es-BO"/>
        </w:rPr>
        <w:t xml:space="preserve"> y por otro lado los gráficos del </w:t>
      </w:r>
      <w:r w:rsidRPr="00FD1DC0">
        <w:rPr>
          <w:rFonts w:ascii="Times New Roman" w:hAnsi="Times New Roman" w:cs="Times New Roman"/>
          <w:i/>
          <w:lang w:val="es-BO"/>
        </w:rPr>
        <w:t>Grid search</w:t>
      </w:r>
      <w:r w:rsidRPr="00FD1DC0">
        <w:rPr>
          <w:rFonts w:ascii="Times New Roman" w:hAnsi="Times New Roman" w:cs="Times New Roman"/>
          <w:lang w:val="es-BO"/>
        </w:rPr>
        <w:t xml:space="preserve"> de los modelos de transición para ambos </w:t>
      </w:r>
      <w:r w:rsidR="00920C11" w:rsidRPr="00FD1DC0">
        <w:rPr>
          <w:rFonts w:ascii="Times New Roman" w:hAnsi="Times New Roman" w:cs="Times New Roman"/>
          <w:lang w:val="es-BO"/>
        </w:rPr>
        <w:t>países</w:t>
      </w:r>
      <w:r w:rsidRPr="00FD1DC0">
        <w:rPr>
          <w:rFonts w:ascii="Times New Roman" w:hAnsi="Times New Roman" w:cs="Times New Roman"/>
          <w:lang w:val="es-BO"/>
        </w:rPr>
        <w:t>, representan la modelización en la parte gráfica de la función de suma de cuadrados de residuos que son importantes para observar la superficie y el contorno, ya que los resultados máximos suelen ser más visibles en dichos gráficos.</w:t>
      </w:r>
    </w:p>
    <w:p w14:paraId="0E8D95C2" w14:textId="2837B5A0" w:rsidR="00FE6F92" w:rsidRPr="00FD1DC0" w:rsidRDefault="00FE6F92" w:rsidP="0032639B">
      <w:pPr>
        <w:spacing w:after="0" w:line="360" w:lineRule="auto"/>
        <w:rPr>
          <w:rFonts w:ascii="Times New Roman" w:hAnsi="Times New Roman" w:cs="Times New Roman"/>
          <w:lang w:val="es-BO"/>
        </w:rPr>
      </w:pPr>
      <w:r w:rsidRPr="00FD1DC0">
        <w:rPr>
          <w:rFonts w:ascii="Times New Roman" w:hAnsi="Times New Roman" w:cs="Times New Roman"/>
          <w:lang w:val="es-BO"/>
        </w:rPr>
        <w:t>De los resultados anteriores (</w:t>
      </w:r>
      <w:r w:rsidRPr="00FD1DC0">
        <w:rPr>
          <w:rFonts w:ascii="Times New Roman" w:hAnsi="Times New Roman" w:cs="Times New Roman"/>
          <w:i/>
          <w:lang w:val="es-BO"/>
        </w:rPr>
        <w:t>Test lineal</w:t>
      </w:r>
      <w:r w:rsidRPr="00FD1DC0">
        <w:rPr>
          <w:rFonts w:ascii="Times New Roman" w:hAnsi="Times New Roman" w:cs="Times New Roman"/>
          <w:lang w:val="es-BO"/>
        </w:rPr>
        <w:t>), se concluye que el modelo lineal no es el más adecuado para explicar el comportamiento conjunto de la variable en estudio. Por lo tanto, el siguiente paso es elegir el tipo de modelo STR adecuado o algún otro modelo que contemplar la posibilidad de cambio de régimen o estado en algún periodo en específico y dicha prueba de linealidad en caso de rechazar la hipótesis planteada, avalaría el uso y análisis de un modelo con cambios de régimen o estado.</w:t>
      </w:r>
    </w:p>
    <w:p w14:paraId="73910C41" w14:textId="744D2B49" w:rsidR="007630F8" w:rsidRPr="00FD1DC0" w:rsidRDefault="00FE6F92" w:rsidP="00B123CC">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Por último, en la gráfica 16</w:t>
      </w:r>
      <w:r w:rsidR="007630F8" w:rsidRPr="00FD1DC0">
        <w:rPr>
          <w:rFonts w:ascii="Times New Roman" w:hAnsi="Times New Roman" w:cs="Times New Roman"/>
          <w:lang w:val="es-BO"/>
        </w:rPr>
        <w:t xml:space="preserve"> nos muestra el pronóstico extramuestral para ambos países la probabilidad de permanecer en el régimen de baja volatilidad cambiaria real</w:t>
      </w:r>
      <w:r w:rsidR="00A84EF9" w:rsidRPr="00FD1DC0">
        <w:rPr>
          <w:rFonts w:ascii="Times New Roman" w:hAnsi="Times New Roman" w:cs="Times New Roman"/>
          <w:lang w:val="es-BO"/>
        </w:rPr>
        <w:t xml:space="preserve"> </w:t>
      </w:r>
      <w:r w:rsidR="007630F8" w:rsidRPr="00FD1DC0">
        <w:rPr>
          <w:rFonts w:ascii="Times New Roman" w:hAnsi="Times New Roman" w:cs="Times New Roman"/>
          <w:lang w:val="es-BO"/>
        </w:rPr>
        <w:t>y la mayor posibilidad de que la apreciación del tipo de cambio real perdure o al menos permanezca constante en el horizonte de pronostico inmediato, que la misma nos llevaría a dos posibles caminos a seguir en el futuro: la primera aprovechar esta mayor apreciación del tipo de cambio real, con la finalidad de poder implementar políticas de industrialización integral y más efectiva y así de alguna forma resolver los problemas estructurales que caracterizan a México y Brasil. El segundo, tratar de aplicar políticas económicas de tal forma que pueda darse en ambos países las condiciones necesarias para la existencia de un tipo de cambio real, competitivo y con cierta estabilidad que sin duda alguna generaría un efecto de derrama positivo sobre el balance con el exterior, teniendo un efecto inmediato positivo sobre la cuenta corriente</w:t>
      </w:r>
      <w:r w:rsidR="00B123CC" w:rsidRPr="00FD1DC0">
        <w:rPr>
          <w:rFonts w:ascii="Times New Roman" w:hAnsi="Times New Roman" w:cs="Times New Roman"/>
          <w:lang w:val="es-BO"/>
        </w:rPr>
        <w:t>.</w:t>
      </w:r>
    </w:p>
    <w:p w14:paraId="1495752C" w14:textId="612E20EB" w:rsidR="00855947" w:rsidRPr="00FD1DC0" w:rsidRDefault="005E7FBA" w:rsidP="00855947">
      <w:pPr>
        <w:pStyle w:val="Ttulo4"/>
        <w:ind w:right="713"/>
        <w:rPr>
          <w:lang w:val="es-BO"/>
        </w:rPr>
      </w:pPr>
      <w:r w:rsidRPr="00FD1DC0">
        <w:rPr>
          <w:lang w:val="es-BO"/>
        </w:rPr>
        <w:t>Gráfico 14</w:t>
      </w:r>
      <w:r w:rsidR="00E9600B" w:rsidRPr="00FD1DC0">
        <w:rPr>
          <w:lang w:val="es-BO"/>
        </w:rPr>
        <w:t xml:space="preserve"> Probabilid</w:t>
      </w:r>
      <w:r w:rsidR="001216FF" w:rsidRPr="00FD1DC0">
        <w:rPr>
          <w:lang w:val="es-BO"/>
        </w:rPr>
        <w:t>ad de estar en un estado de baja</w:t>
      </w:r>
      <w:r w:rsidR="00E9600B" w:rsidRPr="00FD1DC0">
        <w:rPr>
          <w:lang w:val="es-BO"/>
        </w:rPr>
        <w:t xml:space="preserve"> volatilidad</w:t>
      </w:r>
      <w:r w:rsidR="00792F9D" w:rsidRPr="00FD1DC0">
        <w:rPr>
          <w:lang w:val="es-BO"/>
        </w:rPr>
        <w:t xml:space="preserve"> Brasil</w:t>
      </w:r>
      <w:r w:rsidR="00E9600B" w:rsidRPr="00FD1DC0">
        <w:rPr>
          <w:lang w:val="es-BO"/>
        </w:rPr>
        <w:t xml:space="preserve"> (arriba</w:t>
      </w:r>
      <w:r w:rsidR="0025023D" w:rsidRPr="00FD1DC0">
        <w:rPr>
          <w:lang w:val="es-BO"/>
        </w:rPr>
        <w:t xml:space="preserve"> izquierda</w:t>
      </w:r>
      <w:r w:rsidR="00E9600B" w:rsidRPr="00FD1DC0">
        <w:rPr>
          <w:lang w:val="es-BO"/>
        </w:rPr>
        <w:t>), probabilid</w:t>
      </w:r>
      <w:r w:rsidR="001216FF" w:rsidRPr="00FD1DC0">
        <w:rPr>
          <w:lang w:val="es-BO"/>
        </w:rPr>
        <w:t>ad de estar en un estado de alta</w:t>
      </w:r>
      <w:r w:rsidR="0025023D" w:rsidRPr="00FD1DC0">
        <w:rPr>
          <w:lang w:val="es-BO"/>
        </w:rPr>
        <w:t xml:space="preserve"> volatilidad (arriba derecha</w:t>
      </w:r>
      <w:r w:rsidR="00E9600B" w:rsidRPr="00FD1DC0">
        <w:rPr>
          <w:lang w:val="es-BO"/>
        </w:rPr>
        <w:t xml:space="preserve">) </w:t>
      </w:r>
      <w:r w:rsidR="00644EC6" w:rsidRPr="00FD1DC0">
        <w:rPr>
          <w:lang w:val="es-BO"/>
        </w:rPr>
        <w:t>y abajo (gradientes de la función objetivo)</w:t>
      </w:r>
    </w:p>
    <w:p w14:paraId="44BCCBDC" w14:textId="557ABFCF" w:rsidR="00855947" w:rsidRPr="00FD1DC0" w:rsidRDefault="0025023D" w:rsidP="00855947">
      <w:pPr>
        <w:spacing w:after="56" w:line="216" w:lineRule="auto"/>
        <w:ind w:left="3931" w:right="179" w:hanging="3752"/>
        <w:jc w:val="center"/>
        <w:rPr>
          <w:lang w:val="es-BO"/>
        </w:rPr>
      </w:pPr>
      <w:r w:rsidRPr="00FD1DC0">
        <w:rPr>
          <w:noProof/>
        </w:rPr>
        <w:drawing>
          <wp:inline distT="0" distB="0" distL="0" distR="0" wp14:anchorId="02954914" wp14:editId="704F24E6">
            <wp:extent cx="4686300" cy="12700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6300" cy="1270000"/>
                    </a:xfrm>
                    <a:prstGeom prst="rect">
                      <a:avLst/>
                    </a:prstGeom>
                    <a:noFill/>
                    <a:ln>
                      <a:noFill/>
                    </a:ln>
                  </pic:spPr>
                </pic:pic>
              </a:graphicData>
            </a:graphic>
          </wp:inline>
        </w:drawing>
      </w:r>
    </w:p>
    <w:p w14:paraId="611D5C69" w14:textId="3B6D7CBC" w:rsidR="00F20E8C" w:rsidRPr="00FD1DC0" w:rsidRDefault="00F20E8C" w:rsidP="00F20E8C">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62723BFE" w14:textId="0591E312" w:rsidR="00F20E8C" w:rsidRPr="00FD1DC0" w:rsidRDefault="00F20E8C" w:rsidP="00F20E8C">
      <w:pPr>
        <w:pStyle w:val="Ttulo4"/>
        <w:ind w:right="710"/>
        <w:rPr>
          <w:lang w:val="es-BO"/>
        </w:rPr>
      </w:pPr>
      <w:r w:rsidRPr="00FD1DC0">
        <w:rPr>
          <w:lang w:val="es-BO"/>
        </w:rPr>
        <w:t>Gráfico 15 Componentes permanentes y transitorios del tipo de cambio real en Brasil en primeras diferencias (arriba izquierda); Prueba de linealidad gráfica de un modelo con dos umbrales (arriba derecha) y abajo gradientes de la función objetivo del modelo de cambios de régimen con dos estados</w:t>
      </w:r>
    </w:p>
    <w:p w14:paraId="7C3578AC" w14:textId="26734B39" w:rsidR="00F20E8C" w:rsidRPr="00FD1DC0" w:rsidRDefault="00F20E8C" w:rsidP="00F20E8C">
      <w:pPr>
        <w:spacing w:after="56" w:line="216" w:lineRule="auto"/>
        <w:ind w:left="3931" w:right="179" w:hanging="3752"/>
        <w:jc w:val="center"/>
        <w:rPr>
          <w:lang w:val="es-BO"/>
        </w:rPr>
      </w:pPr>
      <w:r w:rsidRPr="00FD1DC0">
        <w:rPr>
          <w:noProof/>
        </w:rPr>
        <w:drawing>
          <wp:inline distT="0" distB="0" distL="0" distR="0" wp14:anchorId="79149CE9" wp14:editId="5C0CE7EC">
            <wp:extent cx="5534025" cy="1441450"/>
            <wp:effectExtent l="0" t="0" r="952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2277" cy="1464437"/>
                    </a:xfrm>
                    <a:prstGeom prst="rect">
                      <a:avLst/>
                    </a:prstGeom>
                    <a:noFill/>
                    <a:ln>
                      <a:noFill/>
                    </a:ln>
                  </pic:spPr>
                </pic:pic>
              </a:graphicData>
            </a:graphic>
          </wp:inline>
        </w:drawing>
      </w:r>
    </w:p>
    <w:p w14:paraId="3221EE80" w14:textId="4C5648FF" w:rsidR="00F20E8C" w:rsidRPr="00FD1DC0" w:rsidRDefault="00311816" w:rsidP="00FF5A55">
      <w:pPr>
        <w:spacing w:after="56" w:line="216" w:lineRule="auto"/>
        <w:ind w:left="3931" w:right="179" w:hanging="3752"/>
        <w:jc w:val="center"/>
        <w:rPr>
          <w:lang w:val="es-BO"/>
        </w:rPr>
      </w:pPr>
      <w:r w:rsidRPr="00FD1DC0">
        <w:rPr>
          <w:b/>
          <w:sz w:val="16"/>
          <w:lang w:val="es-BO"/>
        </w:rPr>
        <w:t>Fuente: Elaboración propia</w:t>
      </w:r>
      <w:r w:rsidRPr="00FD1DC0">
        <w:rPr>
          <w:b/>
          <w:sz w:val="20"/>
          <w:lang w:val="es-BO"/>
        </w:rPr>
        <w:t xml:space="preserve"> </w:t>
      </w:r>
    </w:p>
    <w:p w14:paraId="19E59D94" w14:textId="44E38E5C" w:rsidR="00644EC6" w:rsidRPr="00FD1DC0" w:rsidRDefault="0025023D" w:rsidP="00855947">
      <w:pPr>
        <w:spacing w:after="56" w:line="216" w:lineRule="auto"/>
        <w:ind w:left="3931" w:right="179" w:hanging="3752"/>
        <w:jc w:val="center"/>
        <w:rPr>
          <w:lang w:val="es-BO"/>
        </w:rPr>
      </w:pPr>
      <w:r w:rsidRPr="00FD1DC0">
        <w:rPr>
          <w:noProof/>
        </w:rPr>
        <w:drawing>
          <wp:inline distT="0" distB="0" distL="0" distR="0" wp14:anchorId="73034B52" wp14:editId="689424DA">
            <wp:extent cx="4565650" cy="2584450"/>
            <wp:effectExtent l="0" t="0" r="635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65650" cy="2584450"/>
                    </a:xfrm>
                    <a:prstGeom prst="rect">
                      <a:avLst/>
                    </a:prstGeom>
                    <a:noFill/>
                    <a:ln>
                      <a:noFill/>
                    </a:ln>
                  </pic:spPr>
                </pic:pic>
              </a:graphicData>
            </a:graphic>
          </wp:inline>
        </w:drawing>
      </w:r>
    </w:p>
    <w:p w14:paraId="0CA8CB28" w14:textId="2609D9F9" w:rsidR="00A60331" w:rsidRPr="00FD1DC0" w:rsidRDefault="006B08A2" w:rsidP="00D94A6A">
      <w:pPr>
        <w:spacing w:after="56" w:line="216" w:lineRule="auto"/>
        <w:ind w:left="0" w:right="179" w:firstLine="0"/>
        <w:jc w:val="center"/>
        <w:rPr>
          <w:b/>
          <w:sz w:val="16"/>
          <w:lang w:val="es-BO"/>
        </w:rPr>
      </w:pPr>
      <w:r w:rsidRPr="00FD1DC0">
        <w:rPr>
          <w:b/>
          <w:sz w:val="16"/>
          <w:lang w:val="es-BO"/>
        </w:rPr>
        <w:t xml:space="preserve">Fuente: </w:t>
      </w:r>
      <w:r w:rsidR="00E9600B" w:rsidRPr="00FD1DC0">
        <w:rPr>
          <w:b/>
          <w:sz w:val="16"/>
          <w:lang w:val="es-BO"/>
        </w:rPr>
        <w:t>Elaboración propia</w:t>
      </w:r>
    </w:p>
    <w:p w14:paraId="29BF73ED" w14:textId="051A7C18" w:rsidR="00D94A6A" w:rsidRPr="00FD1DC0" w:rsidRDefault="00D94A6A" w:rsidP="00920C11">
      <w:pPr>
        <w:spacing w:after="56" w:line="216" w:lineRule="auto"/>
        <w:ind w:left="0" w:right="179" w:firstLine="0"/>
        <w:rPr>
          <w:b/>
          <w:sz w:val="20"/>
          <w:lang w:val="es-BO"/>
        </w:rPr>
      </w:pPr>
    </w:p>
    <w:p w14:paraId="72685417" w14:textId="7963C6F0" w:rsidR="004C1E1A" w:rsidRPr="00FD1DC0" w:rsidRDefault="007C061C" w:rsidP="009313BE">
      <w:pPr>
        <w:pStyle w:val="Ttulo3"/>
        <w:spacing w:after="0" w:line="360" w:lineRule="auto"/>
        <w:ind w:left="45" w:right="369"/>
        <w:rPr>
          <w:rFonts w:ascii="Times New Roman" w:hAnsi="Times New Roman" w:cs="Times New Roman"/>
          <w:lang w:val="es-BO"/>
        </w:rPr>
      </w:pPr>
      <w:r w:rsidRPr="00FD1DC0">
        <w:rPr>
          <w:rFonts w:ascii="Times New Roman" w:hAnsi="Times New Roman" w:cs="Times New Roman"/>
          <w:lang w:val="es-BO"/>
        </w:rPr>
        <w:t xml:space="preserve">Conclusión </w:t>
      </w:r>
    </w:p>
    <w:p w14:paraId="4A576CC7" w14:textId="55E61936" w:rsidR="009313BE" w:rsidRPr="00FD1DC0" w:rsidRDefault="00920C11" w:rsidP="009313BE">
      <w:pPr>
        <w:spacing w:after="0" w:line="360" w:lineRule="auto"/>
        <w:ind w:left="45" w:right="533" w:hanging="11"/>
        <w:rPr>
          <w:rFonts w:ascii="Times New Roman" w:hAnsi="Times New Roman" w:cs="Times New Roman"/>
          <w:lang w:val="es-BO"/>
        </w:rPr>
      </w:pPr>
      <w:r>
        <w:rPr>
          <w:rFonts w:ascii="Times New Roman" w:hAnsi="Times New Roman" w:cs="Times New Roman"/>
          <w:lang w:val="es-BO"/>
        </w:rPr>
        <w:t>En el presente acápite</w:t>
      </w:r>
      <w:r w:rsidR="009313BE" w:rsidRPr="00FD1DC0">
        <w:rPr>
          <w:rFonts w:ascii="Times New Roman" w:hAnsi="Times New Roman" w:cs="Times New Roman"/>
          <w:lang w:val="es-BO"/>
        </w:rPr>
        <w:t xml:space="preserve"> se presentó inicialmente la revisión de la literatura empírica del régimen de objetivos de inflación para el caso de México y Brasil. Seguidamente se estimado tres familias de modelos econométricos para probar la hipótesis, los modelos </w:t>
      </w:r>
      <w:r w:rsidR="009313BE" w:rsidRPr="00FD1DC0">
        <w:rPr>
          <w:rFonts w:ascii="Times New Roman" w:hAnsi="Times New Roman" w:cs="Times New Roman"/>
          <w:i/>
          <w:lang w:val="es-BO"/>
        </w:rPr>
        <w:t xml:space="preserve">Sarimax, Egarch y modelos Markov – Switching estructural con dos estados. </w:t>
      </w:r>
      <w:r w:rsidR="009313BE" w:rsidRPr="00FD1DC0">
        <w:rPr>
          <w:rFonts w:ascii="Times New Roman" w:hAnsi="Times New Roman" w:cs="Times New Roman"/>
          <w:lang w:val="es-BO"/>
        </w:rPr>
        <w:t xml:space="preserve">En </w:t>
      </w:r>
      <w:r w:rsidR="009313BE" w:rsidRPr="00FD1DC0">
        <w:rPr>
          <w:rFonts w:ascii="Times New Roman" w:hAnsi="Times New Roman" w:cs="Times New Roman"/>
          <w:i/>
          <w:lang w:val="es-BO"/>
        </w:rPr>
        <w:t>la primera familia de modelos</w:t>
      </w:r>
      <w:r w:rsidR="009313BE" w:rsidRPr="00FD1DC0">
        <w:rPr>
          <w:rFonts w:ascii="Times New Roman" w:hAnsi="Times New Roman" w:cs="Times New Roman"/>
          <w:lang w:val="es-BO"/>
        </w:rPr>
        <w:t xml:space="preserve"> la variable dependiente en ambos países es el tipo de cambio real en primeras diferencias logarítmicas de ambos países en función de varios componentes autoregresivos, de medias móviles y componentes AR y MA estacionales incluyendo en la misma </w:t>
      </w:r>
      <w:r w:rsidR="009313BE" w:rsidRPr="00FD1DC0">
        <w:rPr>
          <w:rFonts w:ascii="Times New Roman" w:hAnsi="Times New Roman" w:cs="Times New Roman"/>
          <w:i/>
          <w:lang w:val="es-BO"/>
        </w:rPr>
        <w:t>dummys de pulso</w:t>
      </w:r>
      <w:r w:rsidR="009313BE" w:rsidRPr="00FD1DC0">
        <w:rPr>
          <w:rFonts w:ascii="Times New Roman" w:hAnsi="Times New Roman" w:cs="Times New Roman"/>
          <w:lang w:val="es-BO"/>
        </w:rPr>
        <w:t xml:space="preserve"> para poder capturar hechos económicos importantes que afectaron a ambos países en diferentes periodos de tiempo.</w:t>
      </w:r>
    </w:p>
    <w:p w14:paraId="16F4F7DF" w14:textId="77777777" w:rsidR="009313BE" w:rsidRPr="00FD1DC0" w:rsidRDefault="009313BE" w:rsidP="009313BE">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Los modelos </w:t>
      </w:r>
      <w:r w:rsidRPr="00FD1DC0">
        <w:rPr>
          <w:rFonts w:ascii="Times New Roman" w:hAnsi="Times New Roman" w:cs="Times New Roman"/>
          <w:i/>
          <w:lang w:val="es-BO"/>
        </w:rPr>
        <w:t xml:space="preserve">Sarimax </w:t>
      </w:r>
      <w:r w:rsidRPr="00FD1DC0">
        <w:rPr>
          <w:rFonts w:ascii="Times New Roman" w:hAnsi="Times New Roman" w:cs="Times New Roman"/>
          <w:lang w:val="es-BO"/>
        </w:rPr>
        <w:t xml:space="preserve">estimados para ambos países cumplen con todas las pruebas de diagnóstico econométrica y un hecho que llama la atención es la </w:t>
      </w:r>
      <w:r w:rsidRPr="00FD1DC0">
        <w:rPr>
          <w:rFonts w:ascii="Times New Roman" w:hAnsi="Times New Roman" w:cs="Times New Roman"/>
          <w:i/>
          <w:lang w:val="es-BO"/>
        </w:rPr>
        <w:t>presencia de efectos ARCH</w:t>
      </w:r>
      <w:r w:rsidRPr="00FD1DC0">
        <w:rPr>
          <w:rFonts w:ascii="Times New Roman" w:hAnsi="Times New Roman" w:cs="Times New Roman"/>
          <w:lang w:val="es-BO"/>
        </w:rPr>
        <w:t xml:space="preserve">  en ambos modelos econométricos, denotando de esta forma que no solo se debe modelar el primer momento estadístico respecto del tipo de cambio real de ambos países, sino que también se debe modelar el segundo momento estadístico (la volatilidad del tipo de cambio real) y asimismo dando una primera señal que el tipo de cambio real en ambos países hubiese sufrido cambios en su nivel a través del tiempo. </w:t>
      </w:r>
    </w:p>
    <w:p w14:paraId="4ED5D6DD" w14:textId="77777777" w:rsidR="009313BE" w:rsidRPr="00FD1DC0" w:rsidRDefault="009313BE" w:rsidP="009313BE">
      <w:pPr>
        <w:spacing w:after="0" w:line="360" w:lineRule="auto"/>
        <w:ind w:left="34" w:right="533" w:firstLine="0"/>
        <w:rPr>
          <w:rFonts w:ascii="Times New Roman" w:hAnsi="Times New Roman" w:cs="Times New Roman"/>
          <w:lang w:val="es-BO"/>
        </w:rPr>
      </w:pPr>
      <w:r w:rsidRPr="00FD1DC0">
        <w:rPr>
          <w:rFonts w:ascii="Times New Roman" w:hAnsi="Times New Roman" w:cs="Times New Roman"/>
          <w:lang w:val="es-BO"/>
        </w:rPr>
        <w:t xml:space="preserve">Entonces, en esa línea se estima la </w:t>
      </w:r>
      <w:r w:rsidRPr="00FD1DC0">
        <w:rPr>
          <w:rFonts w:ascii="Times New Roman" w:hAnsi="Times New Roman" w:cs="Times New Roman"/>
          <w:i/>
          <w:lang w:val="es-BO"/>
        </w:rPr>
        <w:t xml:space="preserve">segunda familia de modelos de las familias Egarch, </w:t>
      </w:r>
      <w:r w:rsidRPr="00FD1DC0">
        <w:rPr>
          <w:rFonts w:ascii="Times New Roman" w:hAnsi="Times New Roman" w:cs="Times New Roman"/>
          <w:lang w:val="es-BO"/>
        </w:rPr>
        <w:t xml:space="preserve">que básicamente anida a cinco sub modelos de volatilidad condicional estocástica (ARCH; GARH; TGARCH, EGARCH y PARCH) , y a la conclusión que se arribaron , es que inicialmente con los modelos simétricos de volatilidad condicional (ARCH y GARCH) para ambos países, el tipo de cambio real de ambos países tiende a apreciarse a medida que pasa el tiempo (horizonte de tiempo de adopción del régimen de objetivos de inflación). Además, la volatilidad del tipo de cambio real tiende a declinar a medida que pasa el tiempo. Estos dos aspectos son confirmados por la suma y magnitud numérica de los coeficientes de los modelos de volatilidad condicional simétrica (los parámetros son menores a la unidad) y la misma es apoyada por el signo negativo que presenta la </w:t>
      </w:r>
      <w:r w:rsidRPr="00FD1DC0">
        <w:rPr>
          <w:rFonts w:ascii="Times New Roman" w:hAnsi="Times New Roman" w:cs="Times New Roman"/>
          <w:i/>
          <w:lang w:val="es-BO"/>
        </w:rPr>
        <w:t>dummy de tendencia</w:t>
      </w:r>
      <w:r w:rsidRPr="00FD1DC0">
        <w:rPr>
          <w:rFonts w:ascii="Times New Roman" w:hAnsi="Times New Roman" w:cs="Times New Roman"/>
          <w:lang w:val="es-BO"/>
        </w:rPr>
        <w:t xml:space="preserve">. </w:t>
      </w:r>
    </w:p>
    <w:p w14:paraId="7CA0C69B" w14:textId="77777777" w:rsidR="009313BE" w:rsidRPr="00FD1DC0" w:rsidRDefault="009313BE" w:rsidP="009313BE">
      <w:pPr>
        <w:spacing w:after="0" w:line="360" w:lineRule="auto"/>
        <w:ind w:left="34" w:right="533" w:firstLine="0"/>
        <w:rPr>
          <w:rFonts w:ascii="Times New Roman" w:hAnsi="Times New Roman" w:cs="Times New Roman"/>
          <w:lang w:val="es-BO"/>
        </w:rPr>
      </w:pPr>
      <w:r w:rsidRPr="00FD1DC0">
        <w:rPr>
          <w:rFonts w:ascii="Times New Roman" w:hAnsi="Times New Roman" w:cs="Times New Roman"/>
          <w:lang w:val="es-BO"/>
        </w:rPr>
        <w:t xml:space="preserve">Además, econométricamente se cumple con el supuesto de estacionariedad débil del proceso y a diferencia de la primera familia de modelos (Sarimax) los términos de error en su mayoría cumplen con las propiedades de esfericidad. Este resultado es interesante ya que demostraría y confirmaría en términos macroeconómicos que tanto el Banco de México BANXICO como el Banco Central de Brasil BCB, han logrado controlar las tasas de inflación en ambos países en torno a una banda previamente establecida de un objetivo de inflación, pero la misma ha sido a costa de intervenir de manera recurrente en los mercados cambiarios, acompañado de una mayor apreciación del tipo de cambio real a través del tiempo. </w:t>
      </w:r>
    </w:p>
    <w:p w14:paraId="3EF01ED8" w14:textId="77777777" w:rsidR="009313BE" w:rsidRPr="00FD1DC0" w:rsidRDefault="009313BE" w:rsidP="009313BE">
      <w:pPr>
        <w:spacing w:after="0" w:line="360" w:lineRule="auto"/>
        <w:ind w:left="50" w:right="533" w:firstLine="0"/>
        <w:rPr>
          <w:rFonts w:ascii="Times New Roman" w:hAnsi="Times New Roman" w:cs="Times New Roman"/>
          <w:lang w:val="es-BO"/>
        </w:rPr>
      </w:pPr>
      <w:r w:rsidRPr="00FD1DC0">
        <w:rPr>
          <w:rFonts w:ascii="Times New Roman" w:hAnsi="Times New Roman" w:cs="Times New Roman"/>
          <w:lang w:val="es-BO"/>
        </w:rPr>
        <w:t>A su vez también se estiman modelos de volatilidad condicional de carácter asimétrico (TGARCH, EGARCH y PARCH), de manera inicial se confirma con los últimos tres modelos que en ambos países existen efectos asimétricos del tipo de cambio real sobre su respectiva volatilidad.</w:t>
      </w:r>
    </w:p>
    <w:p w14:paraId="5FBE566D" w14:textId="632D8F7A" w:rsidR="000B4634" w:rsidRPr="00FD1DC0" w:rsidRDefault="009313BE" w:rsidP="000B4634">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Finalmente se estima para ambos países una </w:t>
      </w:r>
      <w:r w:rsidRPr="00FD1DC0">
        <w:rPr>
          <w:rFonts w:ascii="Times New Roman" w:hAnsi="Times New Roman" w:cs="Times New Roman"/>
          <w:i/>
          <w:lang w:val="es-BO"/>
        </w:rPr>
        <w:t>tercera familia de modelos Markov Switching con dos estados</w:t>
      </w:r>
      <w:r w:rsidRPr="00FD1DC0">
        <w:rPr>
          <w:rFonts w:ascii="Times New Roman" w:hAnsi="Times New Roman" w:cs="Times New Roman"/>
          <w:lang w:val="es-BO"/>
        </w:rPr>
        <w:t>, y a las conclusiones que se arriban es que para ambos países los periodos de apreciación del tipo de cambio real han sido mucho más duraderos respecto a los periodos de un incremento en el tipo de cambio real, comprobando de esta forma la hipótesis de investigación doctoral, que la misma es reforzada por los modelos de volatilidad condicional y los modelos Sarimax, que el logro de la meta de inflación en ambos países, ha sido a costa de una mayor apreciación del tipo de cambio real y comproban</w:t>
      </w:r>
      <w:r w:rsidR="000B4634" w:rsidRPr="00FD1DC0">
        <w:rPr>
          <w:rFonts w:ascii="Times New Roman" w:hAnsi="Times New Roman" w:cs="Times New Roman"/>
          <w:lang w:val="es-BO"/>
        </w:rPr>
        <w:t>do el denominado miedo a flotar.</w:t>
      </w:r>
    </w:p>
    <w:p w14:paraId="65E621BF" w14:textId="0E195A5C" w:rsidR="00592B0A" w:rsidRPr="00FD1DC0" w:rsidRDefault="00592B0A" w:rsidP="00364CFE">
      <w:pPr>
        <w:spacing w:after="0" w:line="360" w:lineRule="auto"/>
        <w:ind w:left="45" w:right="533" w:hanging="11"/>
        <w:rPr>
          <w:rFonts w:ascii="Times New Roman" w:hAnsi="Times New Roman" w:cs="Times New Roman"/>
          <w:lang w:val="es-BO"/>
        </w:rPr>
      </w:pPr>
      <w:r w:rsidRPr="00FD1DC0">
        <w:rPr>
          <w:rFonts w:ascii="Times New Roman" w:hAnsi="Times New Roman" w:cs="Times New Roman"/>
          <w:lang w:val="es-BO"/>
        </w:rPr>
        <w:t xml:space="preserve">En conclusión, el manejo </w:t>
      </w:r>
      <w:r w:rsidRPr="00FD1DC0">
        <w:rPr>
          <w:rFonts w:ascii="Times New Roman" w:hAnsi="Times New Roman" w:cs="Times New Roman"/>
          <w:i/>
          <w:lang w:val="es-BO"/>
        </w:rPr>
        <w:t>ad hoc</w:t>
      </w:r>
      <w:r w:rsidRPr="00FD1DC0">
        <w:rPr>
          <w:rFonts w:ascii="Times New Roman" w:hAnsi="Times New Roman" w:cs="Times New Roman"/>
          <w:lang w:val="es-BO"/>
        </w:rPr>
        <w:t xml:space="preserve"> de la política monetaria de objetivos de inflación en economías en vías de desarrollo, se fundamenta en que la estabilidad del tipo de cambio nominal y el elevado diferencial de tasas de interés atrae nuevos flujos de capitales que terminan por aprecias el tipo de cambio real (López González y Basilio, 2019). Ello a su vez necesita de una inyección de sobreoferta de reservas internacionales disponible para poder intervenir en el mercado cambiario y mantener el tipo de cambio nominal en la dirección deseada de la autoridad monetaria, dada la apreciación del tipo de cambio real.</w:t>
      </w:r>
    </w:p>
    <w:p w14:paraId="18D8977C" w14:textId="76421220" w:rsidR="004D4B17" w:rsidRPr="00FD1DC0" w:rsidRDefault="004D4B17" w:rsidP="00EE1332">
      <w:pPr>
        <w:pStyle w:val="Ttulo3"/>
        <w:spacing w:after="0" w:line="360" w:lineRule="auto"/>
        <w:ind w:left="45" w:right="369"/>
        <w:rPr>
          <w:rFonts w:ascii="Times New Roman" w:hAnsi="Times New Roman" w:cs="Times New Roman"/>
          <w:lang w:val="es-BO"/>
        </w:rPr>
      </w:pPr>
      <w:r w:rsidRPr="00FD1DC0">
        <w:rPr>
          <w:rFonts w:ascii="Times New Roman" w:hAnsi="Times New Roman" w:cs="Times New Roman"/>
          <w:lang w:val="es-BO"/>
        </w:rPr>
        <w:t>Conclusión general</w:t>
      </w:r>
    </w:p>
    <w:p w14:paraId="768D4B0A" w14:textId="5698745C" w:rsidR="00B83D4D" w:rsidRPr="00FD1DC0" w:rsidRDefault="00920C11" w:rsidP="000025A7">
      <w:pPr>
        <w:spacing w:after="0" w:line="360" w:lineRule="auto"/>
        <w:ind w:left="62" w:right="539" w:hanging="11"/>
        <w:rPr>
          <w:rFonts w:ascii="Times New Roman" w:hAnsi="Times New Roman" w:cs="Times New Roman"/>
          <w:szCs w:val="24"/>
          <w:lang w:val="es-BO"/>
        </w:rPr>
      </w:pPr>
      <w:r>
        <w:rPr>
          <w:rFonts w:ascii="Times New Roman" w:hAnsi="Times New Roman" w:cs="Times New Roman"/>
          <w:lang w:val="es-BO"/>
        </w:rPr>
        <w:t>El</w:t>
      </w:r>
      <w:r w:rsidR="00B83D4D" w:rsidRPr="00FD1DC0">
        <w:rPr>
          <w:rFonts w:ascii="Times New Roman" w:hAnsi="Times New Roman" w:cs="Times New Roman"/>
          <w:lang w:val="es-BO"/>
        </w:rPr>
        <w:t xml:space="preserve"> presente </w:t>
      </w:r>
      <w:r>
        <w:rPr>
          <w:rFonts w:ascii="Times New Roman" w:hAnsi="Times New Roman" w:cs="Times New Roman"/>
          <w:lang w:val="es-BO"/>
        </w:rPr>
        <w:t xml:space="preserve">documento </w:t>
      </w:r>
      <w:r w:rsidR="00B83D4D" w:rsidRPr="00FD1DC0">
        <w:rPr>
          <w:rFonts w:ascii="Times New Roman" w:hAnsi="Times New Roman" w:cs="Times New Roman"/>
          <w:lang w:val="es-BO"/>
        </w:rPr>
        <w:t>de i</w:t>
      </w:r>
      <w:r w:rsidR="000B4634" w:rsidRPr="00FD1DC0">
        <w:rPr>
          <w:rFonts w:ascii="Times New Roman" w:hAnsi="Times New Roman" w:cs="Times New Roman"/>
          <w:lang w:val="es-BO"/>
        </w:rPr>
        <w:t>nvestigación toma como hipótesis central que los Bancos Centrales de países en vías de desarrollo como México y Brasil han intervenido los mercados cambiarios para mantener fijo el tipo de cambio nominal y así lograr la estabilidad de precios</w:t>
      </w:r>
      <w:r w:rsidR="000B4634" w:rsidRPr="00FD1DC0">
        <w:rPr>
          <w:rFonts w:ascii="Times New Roman" w:hAnsi="Times New Roman" w:cs="Times New Roman"/>
          <w:szCs w:val="24"/>
          <w:lang w:val="es-BO"/>
        </w:rPr>
        <w:t>, pero no pudiendo evitar la apreciación del tipo de cambio real en el tiempo</w:t>
      </w:r>
      <w:r w:rsidR="000B4634" w:rsidRPr="00FD1DC0">
        <w:rPr>
          <w:rFonts w:ascii="Times New Roman" w:hAnsi="Times New Roman" w:cs="Times New Roman"/>
          <w:lang w:val="es-BO"/>
        </w:rPr>
        <w:t xml:space="preserve"> por lo que una vez concluido, estamos en condiciones de discernir las conclusiones a los cuales se ha arribado en cada capítulo.</w:t>
      </w:r>
      <w:r w:rsidR="000B4634" w:rsidRPr="00FD1DC0">
        <w:rPr>
          <w:rFonts w:ascii="Times New Roman" w:hAnsi="Times New Roman" w:cs="Times New Roman"/>
          <w:lang w:val="es-BO"/>
        </w:rPr>
        <w:tab/>
      </w:r>
    </w:p>
    <w:p w14:paraId="4DE11435" w14:textId="3EADBF65" w:rsidR="00085C49" w:rsidRPr="00FD1DC0" w:rsidRDefault="00D62F8E" w:rsidP="00085C49">
      <w:pPr>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En el</w:t>
      </w:r>
      <w:r w:rsidR="006B2033" w:rsidRPr="00FD1DC0">
        <w:rPr>
          <w:rFonts w:ascii="Times New Roman" w:hAnsi="Times New Roman" w:cs="Times New Roman"/>
          <w:lang w:val="es-BO"/>
        </w:rPr>
        <w:t xml:space="preserve"> p</w:t>
      </w:r>
      <w:r w:rsidR="00A44189" w:rsidRPr="00FD1DC0">
        <w:rPr>
          <w:rFonts w:ascii="Times New Roman" w:hAnsi="Times New Roman" w:cs="Times New Roman"/>
          <w:lang w:val="es-BO"/>
        </w:rPr>
        <w:t>ri</w:t>
      </w:r>
      <w:r w:rsidR="001A6A8A">
        <w:rPr>
          <w:rFonts w:ascii="Times New Roman" w:hAnsi="Times New Roman" w:cs="Times New Roman"/>
          <w:lang w:val="es-BO"/>
        </w:rPr>
        <w:t>mer acápite</w:t>
      </w:r>
      <w:r w:rsidR="006B2033" w:rsidRPr="00FD1DC0">
        <w:rPr>
          <w:rFonts w:ascii="Times New Roman" w:hAnsi="Times New Roman" w:cs="Times New Roman"/>
          <w:lang w:val="es-BO"/>
        </w:rPr>
        <w:t xml:space="preserve"> </w:t>
      </w:r>
      <w:r w:rsidR="00F17542" w:rsidRPr="00FD1DC0">
        <w:rPr>
          <w:rFonts w:ascii="Times New Roman" w:hAnsi="Times New Roman" w:cs="Times New Roman"/>
          <w:lang w:val="es-BO"/>
        </w:rPr>
        <w:t>se hizo un hincapié</w:t>
      </w:r>
      <w:r w:rsidR="00DA0862" w:rsidRPr="00FD1DC0">
        <w:rPr>
          <w:rFonts w:ascii="Times New Roman" w:hAnsi="Times New Roman" w:cs="Times New Roman"/>
          <w:lang w:val="es-BO"/>
        </w:rPr>
        <w:t xml:space="preserve"> </w:t>
      </w:r>
      <w:r w:rsidR="00F17542" w:rsidRPr="00FD1DC0">
        <w:rPr>
          <w:rFonts w:ascii="Times New Roman" w:hAnsi="Times New Roman" w:cs="Times New Roman"/>
          <w:lang w:val="es-BO"/>
        </w:rPr>
        <w:t xml:space="preserve">en el </w:t>
      </w:r>
      <w:r w:rsidR="00223638" w:rsidRPr="00FD1DC0">
        <w:rPr>
          <w:rFonts w:ascii="Times New Roman" w:hAnsi="Times New Roman" w:cs="Times New Roman"/>
          <w:szCs w:val="24"/>
          <w:lang w:val="es-BO"/>
        </w:rPr>
        <w:t>Modelo Macroeconó</w:t>
      </w:r>
      <w:r w:rsidR="00D32500" w:rsidRPr="00FD1DC0">
        <w:rPr>
          <w:rFonts w:ascii="Times New Roman" w:hAnsi="Times New Roman" w:cs="Times New Roman"/>
          <w:szCs w:val="24"/>
          <w:lang w:val="es-BO"/>
        </w:rPr>
        <w:t>mico de Objetivos de Inflación ROI</w:t>
      </w:r>
      <w:r w:rsidR="00223638" w:rsidRPr="00FD1DC0">
        <w:rPr>
          <w:rFonts w:ascii="Times New Roman" w:hAnsi="Times New Roman" w:cs="Times New Roman"/>
          <w:szCs w:val="24"/>
          <w:lang w:val="es-BO"/>
        </w:rPr>
        <w:t xml:space="preserve">, el Modelo de Objetivos de Inflación aplicando índice de condiciones monetarias que a su vez contiene describiendo por un lado sus fundamentos teóricos y las </w:t>
      </w:r>
      <w:r w:rsidR="00223638" w:rsidRPr="00FD1DC0">
        <w:rPr>
          <w:rFonts w:ascii="Times New Roman" w:hAnsi="Times New Roman" w:cs="Times New Roman"/>
          <w:lang w:val="es-BO"/>
        </w:rPr>
        <w:t>condiciones iniciales del modelo teórico de objetivos de inflación</w:t>
      </w:r>
      <w:r w:rsidR="00223638" w:rsidRPr="00FD1DC0">
        <w:rPr>
          <w:rFonts w:ascii="Times New Roman" w:hAnsi="Times New Roman" w:cs="Times New Roman"/>
          <w:szCs w:val="24"/>
          <w:lang w:val="es-BO"/>
        </w:rPr>
        <w:t xml:space="preserve">. En la segunda </w:t>
      </w:r>
      <w:r w:rsidR="0076499B" w:rsidRPr="00FD1DC0">
        <w:rPr>
          <w:rFonts w:ascii="Times New Roman" w:hAnsi="Times New Roman" w:cs="Times New Roman"/>
          <w:szCs w:val="24"/>
          <w:lang w:val="es-BO"/>
        </w:rPr>
        <w:t xml:space="preserve">y tercera </w:t>
      </w:r>
      <w:r w:rsidR="00223638" w:rsidRPr="00FD1DC0">
        <w:rPr>
          <w:rFonts w:ascii="Times New Roman" w:hAnsi="Times New Roman" w:cs="Times New Roman"/>
          <w:szCs w:val="24"/>
          <w:lang w:val="es-BO"/>
        </w:rPr>
        <w:t xml:space="preserve">sección se describe las </w:t>
      </w:r>
      <w:r w:rsidR="00223638" w:rsidRPr="00FD1DC0">
        <w:rPr>
          <w:rFonts w:ascii="Times New Roman" w:hAnsi="Times New Roman" w:cs="Times New Roman"/>
          <w:lang w:val="es-BO"/>
        </w:rPr>
        <w:t>limitaciones teóricas</w:t>
      </w:r>
      <w:r w:rsidR="0076499B" w:rsidRPr="00FD1DC0">
        <w:rPr>
          <w:rFonts w:ascii="Times New Roman" w:hAnsi="Times New Roman" w:cs="Times New Roman"/>
          <w:lang w:val="es-BO"/>
        </w:rPr>
        <w:t xml:space="preserve"> y prácticas</w:t>
      </w:r>
      <w:r w:rsidR="00223638" w:rsidRPr="00FD1DC0">
        <w:rPr>
          <w:rFonts w:ascii="Times New Roman" w:hAnsi="Times New Roman" w:cs="Times New Roman"/>
          <w:lang w:val="es-BO"/>
        </w:rPr>
        <w:t xml:space="preserve"> del régimen de objetivos de inflación aplicados en economías en vías de desarrollo</w:t>
      </w:r>
      <w:r w:rsidR="00085C49" w:rsidRPr="00FD1DC0">
        <w:rPr>
          <w:rFonts w:ascii="Times New Roman" w:hAnsi="Times New Roman" w:cs="Times New Roman"/>
          <w:lang w:val="es-BO"/>
        </w:rPr>
        <w:t>. Por otro lado, se hizo explicita, la vertiente entre ROI rígidos y flexibles con sus diferentes índices de medición del objetivo. Asimismo, se hizo explicito los mecanismos de transmisión de la política monetaria.</w:t>
      </w:r>
    </w:p>
    <w:p w14:paraId="71B21C3D" w14:textId="434FB9AE" w:rsidR="00E905AB" w:rsidRPr="00FD1DC0" w:rsidRDefault="00E905AB" w:rsidP="00905CC0">
      <w:pPr>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Por otro lado</w:t>
      </w:r>
      <w:r w:rsidR="00E21621" w:rsidRPr="00FD1DC0">
        <w:rPr>
          <w:rFonts w:ascii="Times New Roman" w:hAnsi="Times New Roman" w:cs="Times New Roman"/>
          <w:lang w:val="es-BO"/>
        </w:rPr>
        <w:t>,</w:t>
      </w:r>
      <w:r w:rsidRPr="00FD1DC0">
        <w:rPr>
          <w:rFonts w:ascii="Times New Roman" w:hAnsi="Times New Roman" w:cs="Times New Roman"/>
          <w:lang w:val="es-BO"/>
        </w:rPr>
        <w:t xml:space="preserve"> </w:t>
      </w:r>
      <w:r w:rsidR="00250E8D" w:rsidRPr="00FD1DC0">
        <w:rPr>
          <w:rFonts w:ascii="Times New Roman" w:hAnsi="Times New Roman" w:cs="Times New Roman"/>
          <w:lang w:val="es-BO"/>
        </w:rPr>
        <w:t xml:space="preserve">el modelo ROI </w:t>
      </w:r>
      <w:r w:rsidR="00E21621" w:rsidRPr="00FD1DC0">
        <w:rPr>
          <w:rFonts w:ascii="Times New Roman" w:hAnsi="Times New Roman" w:cs="Times New Roman"/>
          <w:lang w:val="es-BO"/>
        </w:rPr>
        <w:t xml:space="preserve">es </w:t>
      </w:r>
      <w:r w:rsidRPr="00FD1DC0">
        <w:rPr>
          <w:rFonts w:ascii="Times New Roman" w:hAnsi="Times New Roman" w:cs="Times New Roman"/>
          <w:lang w:val="es-BO"/>
        </w:rPr>
        <w:t>un modelo heterogéneo</w:t>
      </w:r>
      <w:r w:rsidR="00250E8D" w:rsidRPr="00FD1DC0">
        <w:rPr>
          <w:rFonts w:ascii="Times New Roman" w:hAnsi="Times New Roman" w:cs="Times New Roman"/>
          <w:lang w:val="es-BO"/>
        </w:rPr>
        <w:t xml:space="preserve"> tanto</w:t>
      </w:r>
      <w:r w:rsidR="00E21621" w:rsidRPr="00FD1DC0">
        <w:rPr>
          <w:rFonts w:ascii="Times New Roman" w:hAnsi="Times New Roman" w:cs="Times New Roman"/>
          <w:lang w:val="es-BO"/>
        </w:rPr>
        <w:t xml:space="preserve"> </w:t>
      </w:r>
      <w:r w:rsidRPr="00FD1DC0">
        <w:rPr>
          <w:rFonts w:ascii="Times New Roman" w:hAnsi="Times New Roman" w:cs="Times New Roman"/>
          <w:lang w:val="es-BO"/>
        </w:rPr>
        <w:t>en la</w:t>
      </w:r>
      <w:r w:rsidR="00E21621" w:rsidRPr="00FD1DC0">
        <w:rPr>
          <w:rFonts w:ascii="Times New Roman" w:hAnsi="Times New Roman" w:cs="Times New Roman"/>
          <w:lang w:val="es-BO"/>
        </w:rPr>
        <w:t xml:space="preserve"> </w:t>
      </w:r>
      <w:r w:rsidRPr="00FD1DC0">
        <w:rPr>
          <w:rFonts w:ascii="Times New Roman" w:hAnsi="Times New Roman" w:cs="Times New Roman"/>
          <w:lang w:val="es-BO"/>
        </w:rPr>
        <w:t>teórica y</w:t>
      </w:r>
      <w:r w:rsidR="00E21621" w:rsidRPr="00FD1DC0">
        <w:rPr>
          <w:rFonts w:ascii="Times New Roman" w:hAnsi="Times New Roman" w:cs="Times New Roman"/>
          <w:lang w:val="es-BO"/>
        </w:rPr>
        <w:t xml:space="preserve"> </w:t>
      </w:r>
      <w:r w:rsidRPr="00FD1DC0">
        <w:rPr>
          <w:rFonts w:ascii="Times New Roman" w:hAnsi="Times New Roman" w:cs="Times New Roman"/>
          <w:lang w:val="es-BO"/>
        </w:rPr>
        <w:t>en la</w:t>
      </w:r>
      <w:r w:rsidR="00E21621" w:rsidRPr="00FD1DC0">
        <w:rPr>
          <w:rFonts w:ascii="Times New Roman" w:hAnsi="Times New Roman" w:cs="Times New Roman"/>
          <w:lang w:val="es-BO"/>
        </w:rPr>
        <w:t xml:space="preserve"> práctica. En la teoría existen</w:t>
      </w:r>
      <w:r w:rsidRPr="00FD1DC0">
        <w:rPr>
          <w:rFonts w:ascii="Times New Roman" w:hAnsi="Times New Roman" w:cs="Times New Roman"/>
          <w:lang w:val="es-BO"/>
        </w:rPr>
        <w:t xml:space="preserve"> modelos rígidos y modelos elásticos, para economías abiertas y cerradas. Mientras que de manera empírica </w:t>
      </w:r>
      <w:r w:rsidR="00250E8D" w:rsidRPr="00FD1DC0">
        <w:rPr>
          <w:rFonts w:ascii="Times New Roman" w:hAnsi="Times New Roman" w:cs="Times New Roman"/>
          <w:lang w:val="es-BO"/>
        </w:rPr>
        <w:t>la diferencia radica</w:t>
      </w:r>
      <w:r w:rsidRPr="00FD1DC0">
        <w:rPr>
          <w:rFonts w:ascii="Times New Roman" w:hAnsi="Times New Roman" w:cs="Times New Roman"/>
          <w:lang w:val="es-BO"/>
        </w:rPr>
        <w:t xml:space="preserve"> en el instrumento utilizado para </w:t>
      </w:r>
      <w:r w:rsidR="00250E8D" w:rsidRPr="00FD1DC0">
        <w:rPr>
          <w:rFonts w:ascii="Times New Roman" w:hAnsi="Times New Roman" w:cs="Times New Roman"/>
          <w:lang w:val="es-BO"/>
        </w:rPr>
        <w:t>afectar</w:t>
      </w:r>
      <w:r w:rsidRPr="00FD1DC0">
        <w:rPr>
          <w:rFonts w:ascii="Times New Roman" w:hAnsi="Times New Roman" w:cs="Times New Roman"/>
          <w:lang w:val="es-BO"/>
        </w:rPr>
        <w:t xml:space="preserve"> en la economía y en el objetivo, en algunos casos dual, en otros solo lo inflación, no obstante, difieren de manera parcial en el índice utilizado como objetivo y en la me</w:t>
      </w:r>
      <w:r w:rsidR="00250E8D" w:rsidRPr="00FD1DC0">
        <w:rPr>
          <w:rFonts w:ascii="Times New Roman" w:hAnsi="Times New Roman" w:cs="Times New Roman"/>
          <w:lang w:val="es-BO"/>
        </w:rPr>
        <w:t>dición.  Es por lo cual, en este primer capítulo</w:t>
      </w:r>
      <w:r w:rsidRPr="00FD1DC0">
        <w:rPr>
          <w:rFonts w:ascii="Times New Roman" w:hAnsi="Times New Roman" w:cs="Times New Roman"/>
          <w:lang w:val="es-BO"/>
        </w:rPr>
        <w:t xml:space="preserve"> </w:t>
      </w:r>
      <w:r w:rsidR="00250E8D" w:rsidRPr="00FD1DC0">
        <w:rPr>
          <w:rFonts w:ascii="Times New Roman" w:hAnsi="Times New Roman" w:cs="Times New Roman"/>
          <w:lang w:val="es-BO"/>
        </w:rPr>
        <w:t xml:space="preserve">se toman en cuenta </w:t>
      </w:r>
      <w:r w:rsidRPr="00FD1DC0">
        <w:rPr>
          <w:rFonts w:ascii="Times New Roman" w:hAnsi="Times New Roman" w:cs="Times New Roman"/>
          <w:lang w:val="es-BO"/>
        </w:rPr>
        <w:t>l</w:t>
      </w:r>
      <w:r w:rsidR="00250E8D" w:rsidRPr="00FD1DC0">
        <w:rPr>
          <w:rFonts w:ascii="Times New Roman" w:hAnsi="Times New Roman" w:cs="Times New Roman"/>
          <w:lang w:val="es-BO"/>
        </w:rPr>
        <w:t>os modelos teóricos de los ROI</w:t>
      </w:r>
      <w:r w:rsidRPr="00FD1DC0">
        <w:rPr>
          <w:rFonts w:ascii="Times New Roman" w:hAnsi="Times New Roman" w:cs="Times New Roman"/>
          <w:lang w:val="es-BO"/>
        </w:rPr>
        <w:t xml:space="preserve"> que proponen </w:t>
      </w:r>
      <w:r w:rsidR="00250E8D" w:rsidRPr="00FD1DC0">
        <w:rPr>
          <w:rFonts w:ascii="Times New Roman" w:hAnsi="Times New Roman" w:cs="Times New Roman"/>
          <w:lang w:val="es-BO"/>
        </w:rPr>
        <w:t>diferentes investigadores</w:t>
      </w:r>
      <w:r w:rsidRPr="00FD1DC0">
        <w:rPr>
          <w:rFonts w:ascii="Times New Roman" w:hAnsi="Times New Roman" w:cs="Times New Roman"/>
          <w:lang w:val="es-BO"/>
        </w:rPr>
        <w:t>, el primero de ellos consiste en un modelo par</w:t>
      </w:r>
      <w:r w:rsidR="00250E8D" w:rsidRPr="00FD1DC0">
        <w:rPr>
          <w:rFonts w:ascii="Times New Roman" w:hAnsi="Times New Roman" w:cs="Times New Roman"/>
          <w:lang w:val="es-BO"/>
        </w:rPr>
        <w:t xml:space="preserve">a economías cerradas, para luego ampliarlo a </w:t>
      </w:r>
      <w:r w:rsidRPr="00FD1DC0">
        <w:rPr>
          <w:rFonts w:ascii="Times New Roman" w:hAnsi="Times New Roman" w:cs="Times New Roman"/>
          <w:lang w:val="es-BO"/>
        </w:rPr>
        <w:t>un modelo para economías abiertas</w:t>
      </w:r>
      <w:r w:rsidR="00250E8D" w:rsidRPr="00FD1DC0">
        <w:rPr>
          <w:rFonts w:ascii="Times New Roman" w:hAnsi="Times New Roman" w:cs="Times New Roman"/>
          <w:lang w:val="es-BO"/>
        </w:rPr>
        <w:t xml:space="preserve"> incluyendo dos ecuaciones que nos muestran la relación entre el tipo de cambio y la tasa de interés</w:t>
      </w:r>
      <w:r w:rsidRPr="00FD1DC0">
        <w:rPr>
          <w:rFonts w:ascii="Times New Roman" w:hAnsi="Times New Roman" w:cs="Times New Roman"/>
          <w:lang w:val="es-BO"/>
        </w:rPr>
        <w:t xml:space="preserve">, y </w:t>
      </w:r>
      <w:r w:rsidR="00250E8D" w:rsidRPr="00FD1DC0">
        <w:rPr>
          <w:rFonts w:ascii="Times New Roman" w:hAnsi="Times New Roman" w:cs="Times New Roman"/>
          <w:lang w:val="es-BO"/>
        </w:rPr>
        <w:t xml:space="preserve">posteriormente </w:t>
      </w:r>
      <w:r w:rsidRPr="00FD1DC0">
        <w:rPr>
          <w:rFonts w:ascii="Times New Roman" w:hAnsi="Times New Roman" w:cs="Times New Roman"/>
          <w:lang w:val="es-BO"/>
        </w:rPr>
        <w:t>un modelo con un índice de condiciones monetarias que usa a la tasa de interés y al tipo de cambio de manera parcial como instrumento de política monetaria.</w:t>
      </w:r>
    </w:p>
    <w:p w14:paraId="38DC10A4" w14:textId="12FA2ABA" w:rsidR="00E905AB" w:rsidRPr="00FD1DC0" w:rsidRDefault="0032540B" w:rsidP="00DC27D5">
      <w:pPr>
        <w:spacing w:after="0" w:line="360" w:lineRule="auto"/>
        <w:ind w:left="50" w:right="539" w:firstLine="0"/>
        <w:rPr>
          <w:rFonts w:ascii="Times New Roman" w:hAnsi="Times New Roman" w:cs="Times New Roman"/>
          <w:lang w:val="es-BO"/>
        </w:rPr>
      </w:pPr>
      <w:r w:rsidRPr="00FD1DC0">
        <w:rPr>
          <w:rFonts w:ascii="Times New Roman" w:hAnsi="Times New Roman" w:cs="Times New Roman"/>
          <w:lang w:val="es-BO"/>
        </w:rPr>
        <w:t>La segunda limitación e</w:t>
      </w:r>
      <w:r w:rsidR="005672D2" w:rsidRPr="00FD1DC0">
        <w:rPr>
          <w:rFonts w:ascii="Times New Roman" w:hAnsi="Times New Roman" w:cs="Times New Roman"/>
          <w:lang w:val="es-BO"/>
        </w:rPr>
        <w:t xml:space="preserve">stá relacionada con el hecho </w:t>
      </w:r>
      <w:r w:rsidRPr="00FD1DC0">
        <w:rPr>
          <w:rFonts w:ascii="Times New Roman" w:hAnsi="Times New Roman" w:cs="Times New Roman"/>
          <w:lang w:val="es-BO"/>
        </w:rPr>
        <w:t xml:space="preserve">de una elasticidad de </w:t>
      </w:r>
      <w:r w:rsidR="00905CC0" w:rsidRPr="00FD1DC0">
        <w:rPr>
          <w:rFonts w:ascii="Times New Roman" w:hAnsi="Times New Roman" w:cs="Times New Roman"/>
          <w:lang w:val="es-BO"/>
        </w:rPr>
        <w:t>los flujos inte</w:t>
      </w:r>
      <w:r w:rsidR="005672D2" w:rsidRPr="00FD1DC0">
        <w:rPr>
          <w:rFonts w:ascii="Times New Roman" w:hAnsi="Times New Roman" w:cs="Times New Roman"/>
          <w:lang w:val="es-BO"/>
        </w:rPr>
        <w:t xml:space="preserve">rnacionales de capital debido </w:t>
      </w:r>
      <w:r w:rsidR="00905CC0" w:rsidRPr="00FD1DC0">
        <w:rPr>
          <w:rFonts w:ascii="Times New Roman" w:hAnsi="Times New Roman" w:cs="Times New Roman"/>
          <w:lang w:val="es-BO"/>
        </w:rPr>
        <w:t xml:space="preserve">a los diferenciales de interés </w:t>
      </w:r>
      <w:r w:rsidR="005672D2" w:rsidRPr="00FD1DC0">
        <w:rPr>
          <w:rFonts w:ascii="Times New Roman" w:hAnsi="Times New Roman" w:cs="Times New Roman"/>
          <w:lang w:val="es-BO"/>
        </w:rPr>
        <w:t>que se asume en el modelo ROI</w:t>
      </w:r>
      <w:r w:rsidR="00905CC0" w:rsidRPr="00FD1DC0">
        <w:rPr>
          <w:rFonts w:ascii="Times New Roman" w:hAnsi="Times New Roman" w:cs="Times New Roman"/>
          <w:lang w:val="es-BO"/>
        </w:rPr>
        <w:t>. En la práctica este supuesto no se verifica</w:t>
      </w:r>
      <w:r w:rsidR="005672D2" w:rsidRPr="00FD1DC0">
        <w:rPr>
          <w:rFonts w:ascii="Times New Roman" w:hAnsi="Times New Roman" w:cs="Times New Roman"/>
          <w:lang w:val="es-BO"/>
        </w:rPr>
        <w:t>,</w:t>
      </w:r>
      <w:r w:rsidR="00905CC0" w:rsidRPr="00FD1DC0">
        <w:rPr>
          <w:rFonts w:ascii="Times New Roman" w:hAnsi="Times New Roman" w:cs="Times New Roman"/>
          <w:lang w:val="es-BO"/>
        </w:rPr>
        <w:t xml:space="preserve"> </w:t>
      </w:r>
      <w:r w:rsidR="005672D2" w:rsidRPr="00FD1DC0">
        <w:rPr>
          <w:rFonts w:ascii="Times New Roman" w:hAnsi="Times New Roman" w:cs="Times New Roman"/>
          <w:lang w:val="es-BO"/>
        </w:rPr>
        <w:t>más por el contrario varias</w:t>
      </w:r>
      <w:r w:rsidR="00905CC0" w:rsidRPr="00FD1DC0">
        <w:rPr>
          <w:rFonts w:ascii="Times New Roman" w:hAnsi="Times New Roman" w:cs="Times New Roman"/>
          <w:lang w:val="es-BO"/>
        </w:rPr>
        <w:t xml:space="preserve"> investigaciones </w:t>
      </w:r>
      <w:r w:rsidR="005672D2" w:rsidRPr="00FD1DC0">
        <w:rPr>
          <w:rFonts w:ascii="Times New Roman" w:hAnsi="Times New Roman" w:cs="Times New Roman"/>
          <w:lang w:val="es-BO"/>
        </w:rPr>
        <w:t>empíricas llegan a la conclusión del rechazo de la Paridad Descubierta de Tasas de Interés</w:t>
      </w:r>
      <w:r w:rsidR="00905CC0" w:rsidRPr="00FD1DC0">
        <w:rPr>
          <w:rFonts w:ascii="Times New Roman" w:hAnsi="Times New Roman" w:cs="Times New Roman"/>
          <w:lang w:val="es-BO"/>
        </w:rPr>
        <w:t xml:space="preserve"> (Mántey, 2011).</w:t>
      </w:r>
      <w:r w:rsidR="007351A7" w:rsidRPr="00FD1DC0">
        <w:rPr>
          <w:rFonts w:ascii="Times New Roman" w:hAnsi="Times New Roman" w:cs="Times New Roman"/>
          <w:lang w:val="es-BO"/>
        </w:rPr>
        <w:t xml:space="preserve"> Por otro lado, si bien la Regla de Taylor no toma en cuenta al tipo de cambio como un factor de inflación, algunos modelos de objetivos de inflación sí lo consideran (Perrotini, 2009), pero es importante tomar en cuenta que los teóricos del NCM que sí reconocen los efectos del tipo de cambio sobre la tasa de inflación, como Ball (2000), afirman que en la práctica las autoridades monetarias no usan la regla de Taylor en sí. Más bien utilizan un índice de condiciones monetarias que</w:t>
      </w:r>
      <w:r w:rsidR="007351A7" w:rsidRPr="00FD1DC0">
        <w:rPr>
          <w:lang w:val="es-BO"/>
        </w:rPr>
        <w:t xml:space="preserve"> </w:t>
      </w:r>
      <w:r w:rsidR="007351A7" w:rsidRPr="00FD1DC0">
        <w:rPr>
          <w:rFonts w:ascii="Times New Roman" w:hAnsi="Times New Roman" w:cs="Times New Roman"/>
          <w:lang w:val="es-BO"/>
        </w:rPr>
        <w:t>toman en cuenta de manera explícita estos efectos. Sin embargo, en el largo plazo según los teóricos del NCM el papel que ejerce el tipo de cambio se desvanece a medida que la tasa de inflación se estabiliza.</w:t>
      </w:r>
    </w:p>
    <w:p w14:paraId="5D05ED22" w14:textId="11630B74" w:rsidR="001D748D" w:rsidRPr="00FD1DC0" w:rsidRDefault="0032540B" w:rsidP="00DC27D5">
      <w:pPr>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Esta</w:t>
      </w:r>
      <w:r w:rsidR="00DC27D5" w:rsidRPr="00FD1DC0">
        <w:rPr>
          <w:rFonts w:ascii="Times New Roman" w:hAnsi="Times New Roman" w:cs="Times New Roman"/>
          <w:lang w:val="es-BO"/>
        </w:rPr>
        <w:t>s</w:t>
      </w:r>
      <w:r w:rsidRPr="00FD1DC0">
        <w:rPr>
          <w:rFonts w:ascii="Times New Roman" w:hAnsi="Times New Roman" w:cs="Times New Roman"/>
          <w:lang w:val="es-BO"/>
        </w:rPr>
        <w:t xml:space="preserve"> </w:t>
      </w:r>
      <w:r w:rsidR="00DC27D5" w:rsidRPr="00FD1DC0">
        <w:rPr>
          <w:rFonts w:ascii="Times New Roman" w:hAnsi="Times New Roman" w:cs="Times New Roman"/>
          <w:lang w:val="es-BO"/>
        </w:rPr>
        <w:t xml:space="preserve">fragilidades </w:t>
      </w:r>
      <w:r w:rsidRPr="00FD1DC0">
        <w:rPr>
          <w:rFonts w:ascii="Times New Roman" w:hAnsi="Times New Roman" w:cs="Times New Roman"/>
          <w:lang w:val="es-BO"/>
        </w:rPr>
        <w:t>teórica</w:t>
      </w:r>
      <w:r w:rsidR="00DC27D5" w:rsidRPr="00FD1DC0">
        <w:rPr>
          <w:rFonts w:ascii="Times New Roman" w:hAnsi="Times New Roman" w:cs="Times New Roman"/>
          <w:lang w:val="es-BO"/>
        </w:rPr>
        <w:t>s que presenta el NCM para acercar más su marco teórico a las</w:t>
      </w:r>
      <w:r w:rsidR="00905CC0" w:rsidRPr="00FD1DC0">
        <w:rPr>
          <w:rFonts w:ascii="Times New Roman" w:hAnsi="Times New Roman" w:cs="Times New Roman"/>
          <w:lang w:val="es-BO"/>
        </w:rPr>
        <w:t xml:space="preserve"> </w:t>
      </w:r>
      <w:r w:rsidR="00DC27D5" w:rsidRPr="00FD1DC0">
        <w:rPr>
          <w:rFonts w:ascii="Times New Roman" w:hAnsi="Times New Roman" w:cs="Times New Roman"/>
          <w:lang w:val="es-BO"/>
        </w:rPr>
        <w:t>características</w:t>
      </w:r>
      <w:r w:rsidR="00905CC0" w:rsidRPr="00FD1DC0">
        <w:rPr>
          <w:rFonts w:ascii="Times New Roman" w:hAnsi="Times New Roman" w:cs="Times New Roman"/>
          <w:lang w:val="es-BO"/>
        </w:rPr>
        <w:t xml:space="preserve"> económicas</w:t>
      </w:r>
      <w:r w:rsidR="00DC27D5" w:rsidRPr="00FD1DC0">
        <w:rPr>
          <w:rFonts w:ascii="Times New Roman" w:hAnsi="Times New Roman" w:cs="Times New Roman"/>
          <w:lang w:val="es-BO"/>
        </w:rPr>
        <w:t xml:space="preserve"> y sociales que tienen</w:t>
      </w:r>
      <w:r w:rsidR="00905CC0" w:rsidRPr="00FD1DC0">
        <w:rPr>
          <w:rFonts w:ascii="Times New Roman" w:hAnsi="Times New Roman" w:cs="Times New Roman"/>
          <w:lang w:val="es-BO"/>
        </w:rPr>
        <w:t xml:space="preserve"> </w:t>
      </w:r>
      <w:r w:rsidR="00DC27D5" w:rsidRPr="00FD1DC0">
        <w:rPr>
          <w:rFonts w:ascii="Times New Roman" w:hAnsi="Times New Roman" w:cs="Times New Roman"/>
          <w:lang w:val="es-BO"/>
        </w:rPr>
        <w:t>los países en desarrollo, ha dado lugar a que muchos</w:t>
      </w:r>
      <w:r w:rsidR="00905CC0" w:rsidRPr="00FD1DC0">
        <w:rPr>
          <w:rFonts w:ascii="Times New Roman" w:hAnsi="Times New Roman" w:cs="Times New Roman"/>
          <w:lang w:val="es-BO"/>
        </w:rPr>
        <w:t xml:space="preserve"> </w:t>
      </w:r>
      <w:r w:rsidR="00DC27D5" w:rsidRPr="00FD1DC0">
        <w:rPr>
          <w:rFonts w:ascii="Times New Roman" w:hAnsi="Times New Roman" w:cs="Times New Roman"/>
          <w:lang w:val="es-BO"/>
        </w:rPr>
        <w:t>estudiosos cuestionen</w:t>
      </w:r>
      <w:r w:rsidR="00905CC0" w:rsidRPr="00FD1DC0">
        <w:rPr>
          <w:rFonts w:ascii="Times New Roman" w:hAnsi="Times New Roman" w:cs="Times New Roman"/>
          <w:lang w:val="es-BO"/>
        </w:rPr>
        <w:t xml:space="preserve"> algunos </w:t>
      </w:r>
      <w:r w:rsidR="00DC27D5" w:rsidRPr="00FD1DC0">
        <w:rPr>
          <w:rFonts w:ascii="Times New Roman" w:hAnsi="Times New Roman" w:cs="Times New Roman"/>
          <w:lang w:val="es-BO"/>
        </w:rPr>
        <w:t>tópicos centrales del RO</w:t>
      </w:r>
      <w:r w:rsidR="00905CC0" w:rsidRPr="00FD1DC0">
        <w:rPr>
          <w:rFonts w:ascii="Times New Roman" w:hAnsi="Times New Roman" w:cs="Times New Roman"/>
          <w:lang w:val="es-BO"/>
        </w:rPr>
        <w:t>I. El primer</w:t>
      </w:r>
      <w:r w:rsidR="00DC27D5" w:rsidRPr="00FD1DC0">
        <w:rPr>
          <w:rFonts w:ascii="Times New Roman" w:hAnsi="Times New Roman" w:cs="Times New Roman"/>
          <w:lang w:val="es-BO"/>
        </w:rPr>
        <w:t>o</w:t>
      </w:r>
      <w:r w:rsidR="00905CC0" w:rsidRPr="00FD1DC0">
        <w:rPr>
          <w:rFonts w:ascii="Times New Roman" w:hAnsi="Times New Roman" w:cs="Times New Roman"/>
          <w:lang w:val="es-BO"/>
        </w:rPr>
        <w:t xml:space="preserve"> </w:t>
      </w:r>
      <w:r w:rsidR="00DC27D5" w:rsidRPr="00FD1DC0">
        <w:rPr>
          <w:rFonts w:ascii="Times New Roman" w:hAnsi="Times New Roman" w:cs="Times New Roman"/>
          <w:lang w:val="es-BO"/>
        </w:rPr>
        <w:t xml:space="preserve">vinculado con la adopción de un tipo de cambio flexible, </w:t>
      </w:r>
      <w:r w:rsidR="00905CC0" w:rsidRPr="00FD1DC0">
        <w:rPr>
          <w:rFonts w:ascii="Times New Roman" w:hAnsi="Times New Roman" w:cs="Times New Roman"/>
          <w:lang w:val="es-BO"/>
        </w:rPr>
        <w:t xml:space="preserve">como condición necesaria para </w:t>
      </w:r>
      <w:r w:rsidR="00DC27D5" w:rsidRPr="00FD1DC0">
        <w:rPr>
          <w:rFonts w:ascii="Times New Roman" w:hAnsi="Times New Roman" w:cs="Times New Roman"/>
          <w:lang w:val="es-BO"/>
        </w:rPr>
        <w:t>lograr el objetivo</w:t>
      </w:r>
      <w:r w:rsidR="00905CC0" w:rsidRPr="00FD1DC0">
        <w:rPr>
          <w:rFonts w:ascii="Times New Roman" w:hAnsi="Times New Roman" w:cs="Times New Roman"/>
          <w:lang w:val="es-BO"/>
        </w:rPr>
        <w:t xml:space="preserve"> de inflación. Condición que en el caso </w:t>
      </w:r>
      <w:r w:rsidR="00DC27D5" w:rsidRPr="00FD1DC0">
        <w:rPr>
          <w:rFonts w:ascii="Times New Roman" w:hAnsi="Times New Roman" w:cs="Times New Roman"/>
          <w:lang w:val="es-BO"/>
        </w:rPr>
        <w:t xml:space="preserve">de economías en </w:t>
      </w:r>
      <w:r w:rsidR="00905CC0" w:rsidRPr="00FD1DC0">
        <w:rPr>
          <w:rFonts w:ascii="Times New Roman" w:hAnsi="Times New Roman" w:cs="Times New Roman"/>
          <w:lang w:val="es-BO"/>
        </w:rPr>
        <w:t xml:space="preserve">desarrollo </w:t>
      </w:r>
      <w:r w:rsidR="00DC27D5" w:rsidRPr="00FD1DC0">
        <w:rPr>
          <w:rFonts w:ascii="Times New Roman" w:hAnsi="Times New Roman" w:cs="Times New Roman"/>
          <w:lang w:val="es-BO"/>
        </w:rPr>
        <w:t>no se cumple por las razones anteriormente mencionadas. El segundo aspecto a cuestionar, tiene que ver con el hecho de que el supuesto de arbitraje</w:t>
      </w:r>
      <w:r w:rsidR="00905CC0" w:rsidRPr="00FD1DC0">
        <w:rPr>
          <w:rFonts w:ascii="Times New Roman" w:hAnsi="Times New Roman" w:cs="Times New Roman"/>
          <w:lang w:val="es-BO"/>
        </w:rPr>
        <w:t xml:space="preserve"> internacional de tasas de interés, como lo postula la teoría de la </w:t>
      </w:r>
      <w:r w:rsidR="00DC27D5" w:rsidRPr="00FD1DC0">
        <w:rPr>
          <w:rFonts w:ascii="Times New Roman" w:hAnsi="Times New Roman" w:cs="Times New Roman"/>
          <w:lang w:val="es-BO"/>
        </w:rPr>
        <w:t>PDTI, no se cumple.</w:t>
      </w:r>
    </w:p>
    <w:p w14:paraId="1E5B51F6" w14:textId="76E6D0E4" w:rsidR="00FA5F42" w:rsidRPr="00FD1DC0" w:rsidRDefault="004C2824" w:rsidP="00AA2323">
      <w:pPr>
        <w:spacing w:after="0" w:line="360" w:lineRule="auto"/>
        <w:ind w:right="533"/>
        <w:rPr>
          <w:rFonts w:ascii="Times New Roman" w:hAnsi="Times New Roman" w:cs="Times New Roman"/>
          <w:lang w:val="es-BO"/>
        </w:rPr>
      </w:pPr>
      <w:r w:rsidRPr="00FD1DC0">
        <w:rPr>
          <w:rFonts w:ascii="Times New Roman" w:hAnsi="Times New Roman" w:cs="Times New Roman"/>
          <w:lang w:val="es-BO"/>
        </w:rPr>
        <w:t>Por otro lado</w:t>
      </w:r>
      <w:r w:rsidR="00FA5F42" w:rsidRPr="00FD1DC0">
        <w:rPr>
          <w:rFonts w:ascii="Times New Roman" w:hAnsi="Times New Roman" w:cs="Times New Roman"/>
          <w:lang w:val="es-BO"/>
        </w:rPr>
        <w:t>,</w:t>
      </w:r>
      <w:r w:rsidR="00920C11">
        <w:rPr>
          <w:rFonts w:ascii="Times New Roman" w:hAnsi="Times New Roman" w:cs="Times New Roman"/>
          <w:lang w:val="es-BO"/>
        </w:rPr>
        <w:t xml:space="preserve"> en el acápite</w:t>
      </w:r>
      <w:r w:rsidR="00C459B9" w:rsidRPr="00FD1DC0">
        <w:rPr>
          <w:rFonts w:ascii="Times New Roman" w:hAnsi="Times New Roman" w:cs="Times New Roman"/>
          <w:lang w:val="es-BO"/>
        </w:rPr>
        <w:t xml:space="preserve"> dos se muestra</w:t>
      </w:r>
      <w:r w:rsidR="00FA5F42" w:rsidRPr="00FD1DC0">
        <w:rPr>
          <w:rFonts w:ascii="Times New Roman" w:hAnsi="Times New Roman" w:cs="Times New Roman"/>
          <w:lang w:val="es-BO"/>
        </w:rPr>
        <w:t xml:space="preserve"> que el NCM llega a aceptar el efecto</w:t>
      </w:r>
      <w:r w:rsidR="00E44FE8" w:rsidRPr="00FD1DC0">
        <w:rPr>
          <w:rFonts w:ascii="Times New Roman" w:hAnsi="Times New Roman" w:cs="Times New Roman"/>
          <w:lang w:val="es-BO"/>
        </w:rPr>
        <w:t xml:space="preserve"> que tiene</w:t>
      </w:r>
      <w:r w:rsidR="00FA5F42" w:rsidRPr="00FD1DC0">
        <w:rPr>
          <w:rFonts w:ascii="Times New Roman" w:hAnsi="Times New Roman" w:cs="Times New Roman"/>
          <w:lang w:val="es-BO"/>
        </w:rPr>
        <w:t xml:space="preserve"> el tipo de cambio sobre la inflación, debido a que se reconoce que el efecto del tipo de cambio a l</w:t>
      </w:r>
      <w:r w:rsidR="0046186E" w:rsidRPr="00FD1DC0">
        <w:rPr>
          <w:rFonts w:ascii="Times New Roman" w:hAnsi="Times New Roman" w:cs="Times New Roman"/>
          <w:lang w:val="es-BO"/>
        </w:rPr>
        <w:t xml:space="preserve">a inflación sucede de manera más acelerada </w:t>
      </w:r>
      <w:r w:rsidR="00FA5F42" w:rsidRPr="00FD1DC0">
        <w:rPr>
          <w:rFonts w:ascii="Times New Roman" w:hAnsi="Times New Roman" w:cs="Times New Roman"/>
          <w:lang w:val="es-BO"/>
        </w:rPr>
        <w:t>que por l</w:t>
      </w:r>
      <w:r w:rsidR="00E44FE8" w:rsidRPr="00FD1DC0">
        <w:rPr>
          <w:rFonts w:ascii="Times New Roman" w:hAnsi="Times New Roman" w:cs="Times New Roman"/>
          <w:lang w:val="es-BO"/>
        </w:rPr>
        <w:t xml:space="preserve">a tasa de interés. Sin embargo, </w:t>
      </w:r>
      <w:r w:rsidR="00FA5F42" w:rsidRPr="00FD1DC0">
        <w:rPr>
          <w:rFonts w:ascii="Times New Roman" w:hAnsi="Times New Roman" w:cs="Times New Roman"/>
          <w:lang w:val="es-BO"/>
        </w:rPr>
        <w:t>el supuesto que sostiene que la paridad</w:t>
      </w:r>
      <w:r w:rsidR="0046186E" w:rsidRPr="00FD1DC0">
        <w:rPr>
          <w:rFonts w:ascii="Times New Roman" w:hAnsi="Times New Roman" w:cs="Times New Roman"/>
          <w:lang w:val="es-BO"/>
        </w:rPr>
        <w:t xml:space="preserve"> descubierta de tasas de interés se cumple, conduce a dos conclusiones: 1) que los bancos centr</w:t>
      </w:r>
      <w:r w:rsidR="00CD510D" w:rsidRPr="00FD1DC0">
        <w:rPr>
          <w:rFonts w:ascii="Times New Roman" w:hAnsi="Times New Roman" w:cs="Times New Roman"/>
          <w:lang w:val="es-BO"/>
        </w:rPr>
        <w:t xml:space="preserve">ales pueden manipular </w:t>
      </w:r>
      <w:r w:rsidR="0046186E" w:rsidRPr="00FD1DC0">
        <w:rPr>
          <w:rFonts w:ascii="Times New Roman" w:hAnsi="Times New Roman" w:cs="Times New Roman"/>
          <w:lang w:val="es-BO"/>
        </w:rPr>
        <w:t>el tipo de cambio por medio de cambios de la tasa de interés, y finalmente que 2) que la dirección de causalidad y efecto va de la tasa de interés al tipo de cambio (López, Mántey y Panico, 2015).</w:t>
      </w:r>
    </w:p>
    <w:p w14:paraId="6BB291AD" w14:textId="7F5ED737" w:rsidR="00D07F01" w:rsidRPr="00FD1DC0" w:rsidRDefault="00085C49" w:rsidP="00C84839">
      <w:pPr>
        <w:spacing w:after="0" w:line="360" w:lineRule="auto"/>
        <w:ind w:left="62" w:hanging="11"/>
        <w:rPr>
          <w:rFonts w:ascii="Times New Roman" w:hAnsi="Times New Roman" w:cs="Times New Roman"/>
          <w:lang w:val="es-BO"/>
        </w:rPr>
      </w:pPr>
      <w:r w:rsidRPr="00FD1DC0">
        <w:rPr>
          <w:rFonts w:ascii="Times New Roman" w:hAnsi="Times New Roman" w:cs="Times New Roman"/>
          <w:lang w:val="es-BO"/>
        </w:rPr>
        <w:t>En esa línea, si bien se supone que debería de existir flexibilidad en el tipo de cambio, tanto el BANXICO como el BCB lo usan como un  instrumento intermedio provocando un tipo de cambio asimétrico, en otras palabras, las posibles depreciaciones  del  tipo  de  cambio son esterilizadas para evitar contagios en los precios internos, lo cual es una contradicción teórica, ya que los Bancos Centrales requieren un tipo de cambio depreciado para estimular las exportaciones en lugar de un tipo de cambio apreciado para evitar traspasos a los precios ya que el instrumento teórico es la tasa de interés y no el tipo de cambio.</w:t>
      </w:r>
    </w:p>
    <w:p w14:paraId="1779B7FD" w14:textId="3900F098" w:rsidR="00D07F01" w:rsidRPr="00FD1DC0" w:rsidRDefault="00051CF8" w:rsidP="003A5396">
      <w:pPr>
        <w:spacing w:after="0" w:line="360" w:lineRule="auto"/>
        <w:ind w:left="62" w:hanging="11"/>
        <w:rPr>
          <w:rFonts w:ascii="Times New Roman" w:hAnsi="Times New Roman" w:cs="Times New Roman"/>
          <w:lang w:val="es-BO"/>
        </w:rPr>
      </w:pPr>
      <w:r w:rsidRPr="00FD1DC0">
        <w:rPr>
          <w:rFonts w:ascii="Times New Roman" w:hAnsi="Times New Roman" w:cs="Times New Roman"/>
          <w:lang w:val="es-BO"/>
        </w:rPr>
        <w:t>Con respecto a la</w:t>
      </w:r>
      <w:r w:rsidR="00D07F01" w:rsidRPr="00FD1DC0">
        <w:rPr>
          <w:rFonts w:ascii="Times New Roman" w:hAnsi="Times New Roman" w:cs="Times New Roman"/>
          <w:lang w:val="es-BO"/>
        </w:rPr>
        <w:t xml:space="preserve"> </w:t>
      </w:r>
      <w:r w:rsidRPr="00FD1DC0">
        <w:rPr>
          <w:rFonts w:ascii="Times New Roman" w:hAnsi="Times New Roman" w:cs="Times New Roman"/>
          <w:lang w:val="es-BO"/>
        </w:rPr>
        <w:t>sobre</w:t>
      </w:r>
      <w:r w:rsidR="00D07F01" w:rsidRPr="00FD1DC0">
        <w:rPr>
          <w:rFonts w:ascii="Times New Roman" w:hAnsi="Times New Roman" w:cs="Times New Roman"/>
          <w:lang w:val="es-BO"/>
        </w:rPr>
        <w:t>acumulación de reservas interna</w:t>
      </w:r>
      <w:r w:rsidRPr="00FD1DC0">
        <w:rPr>
          <w:rFonts w:ascii="Times New Roman" w:hAnsi="Times New Roman" w:cs="Times New Roman"/>
          <w:lang w:val="es-BO"/>
        </w:rPr>
        <w:t xml:space="preserve">cionales que han llevado a cabo ambos bancos centrales, sin duda alguna la misma </w:t>
      </w:r>
      <w:r w:rsidR="00D07F01" w:rsidRPr="00FD1DC0">
        <w:rPr>
          <w:rFonts w:ascii="Times New Roman" w:hAnsi="Times New Roman" w:cs="Times New Roman"/>
          <w:lang w:val="es-BO"/>
        </w:rPr>
        <w:t>desempeñó un papel importante en la a</w:t>
      </w:r>
      <w:r w:rsidRPr="00FD1DC0">
        <w:rPr>
          <w:rFonts w:ascii="Times New Roman" w:hAnsi="Times New Roman" w:cs="Times New Roman"/>
          <w:lang w:val="es-BO"/>
        </w:rPr>
        <w:t>dopción del esquema de objetivos</w:t>
      </w:r>
      <w:r w:rsidR="00D07F01" w:rsidRPr="00FD1DC0">
        <w:rPr>
          <w:rFonts w:ascii="Times New Roman" w:hAnsi="Times New Roman" w:cs="Times New Roman"/>
          <w:lang w:val="es-BO"/>
        </w:rPr>
        <w:t xml:space="preserve"> de inflación, ya que </w:t>
      </w:r>
      <w:r w:rsidRPr="00FD1DC0">
        <w:rPr>
          <w:rFonts w:ascii="Times New Roman" w:hAnsi="Times New Roman" w:cs="Times New Roman"/>
          <w:lang w:val="es-BO"/>
        </w:rPr>
        <w:t xml:space="preserve">la misma provoco un efecto directo y positivo </w:t>
      </w:r>
      <w:r w:rsidR="00D07F01" w:rsidRPr="00FD1DC0">
        <w:rPr>
          <w:rFonts w:ascii="Times New Roman" w:hAnsi="Times New Roman" w:cs="Times New Roman"/>
          <w:lang w:val="es-BO"/>
        </w:rPr>
        <w:t>e</w:t>
      </w:r>
      <w:r w:rsidRPr="00FD1DC0">
        <w:rPr>
          <w:rFonts w:ascii="Times New Roman" w:hAnsi="Times New Roman" w:cs="Times New Roman"/>
          <w:lang w:val="es-BO"/>
        </w:rPr>
        <w:t xml:space="preserve">n la formación de expectativas de </w:t>
      </w:r>
      <w:r w:rsidR="00C84839" w:rsidRPr="00FD1DC0">
        <w:rPr>
          <w:rFonts w:ascii="Times New Roman" w:hAnsi="Times New Roman" w:cs="Times New Roman"/>
          <w:lang w:val="es-BO"/>
        </w:rPr>
        <w:t>un “</w:t>
      </w:r>
      <w:r w:rsidR="00D07F01" w:rsidRPr="00FD1DC0">
        <w:rPr>
          <w:rFonts w:ascii="Times New Roman" w:hAnsi="Times New Roman" w:cs="Times New Roman"/>
          <w:lang w:val="es-BO"/>
        </w:rPr>
        <w:t>blindaje</w:t>
      </w:r>
      <w:r w:rsidR="00C84839" w:rsidRPr="00FD1DC0">
        <w:rPr>
          <w:rFonts w:ascii="Times New Roman" w:hAnsi="Times New Roman" w:cs="Times New Roman"/>
          <w:lang w:val="es-BO"/>
        </w:rPr>
        <w:t xml:space="preserve">” sólido para mantener una moneda doméstica fuerte. Sin embargo, una </w:t>
      </w:r>
      <w:r w:rsidRPr="00FD1DC0">
        <w:rPr>
          <w:rFonts w:ascii="Times New Roman" w:hAnsi="Times New Roman" w:cs="Times New Roman"/>
          <w:lang w:val="es-BO"/>
        </w:rPr>
        <w:t xml:space="preserve">vez </w:t>
      </w:r>
      <w:r w:rsidR="00C84839" w:rsidRPr="00FD1DC0">
        <w:rPr>
          <w:rFonts w:ascii="Times New Roman" w:hAnsi="Times New Roman" w:cs="Times New Roman"/>
          <w:lang w:val="es-BO"/>
        </w:rPr>
        <w:t>aplicada el ROI en ambos países, tanto el Banxico como el BCB</w:t>
      </w:r>
      <w:r w:rsidR="00D07F01" w:rsidRPr="00FD1DC0">
        <w:rPr>
          <w:rFonts w:ascii="Times New Roman" w:hAnsi="Times New Roman" w:cs="Times New Roman"/>
          <w:lang w:val="es-BO"/>
        </w:rPr>
        <w:t xml:space="preserve"> </w:t>
      </w:r>
      <w:r w:rsidR="00C84839" w:rsidRPr="00FD1DC0">
        <w:rPr>
          <w:rFonts w:ascii="Times New Roman" w:hAnsi="Times New Roman" w:cs="Times New Roman"/>
          <w:lang w:val="es-BO"/>
        </w:rPr>
        <w:t>fijaron un objetivo</w:t>
      </w:r>
      <w:r w:rsidR="00D07F01" w:rsidRPr="00FD1DC0">
        <w:rPr>
          <w:rFonts w:ascii="Times New Roman" w:hAnsi="Times New Roman" w:cs="Times New Roman"/>
          <w:lang w:val="es-BO"/>
        </w:rPr>
        <w:t xml:space="preserve"> d</w:t>
      </w:r>
      <w:r w:rsidRPr="00FD1DC0">
        <w:rPr>
          <w:rFonts w:ascii="Times New Roman" w:hAnsi="Times New Roman" w:cs="Times New Roman"/>
          <w:lang w:val="es-BO"/>
        </w:rPr>
        <w:t xml:space="preserve">e inflación </w:t>
      </w:r>
      <w:r w:rsidR="00C84839" w:rsidRPr="00FD1DC0">
        <w:rPr>
          <w:rFonts w:ascii="Times New Roman" w:hAnsi="Times New Roman" w:cs="Times New Roman"/>
          <w:lang w:val="es-BO"/>
        </w:rPr>
        <w:t>entorno a un intervalo respectivo</w:t>
      </w:r>
      <w:r w:rsidRPr="00FD1DC0">
        <w:rPr>
          <w:rFonts w:ascii="Times New Roman" w:hAnsi="Times New Roman" w:cs="Times New Roman"/>
          <w:lang w:val="es-BO"/>
        </w:rPr>
        <w:t xml:space="preserve">, </w:t>
      </w:r>
      <w:r w:rsidR="00C84839" w:rsidRPr="00FD1DC0">
        <w:rPr>
          <w:rFonts w:ascii="Times New Roman" w:hAnsi="Times New Roman" w:cs="Times New Roman"/>
          <w:lang w:val="es-BO"/>
        </w:rPr>
        <w:t xml:space="preserve">y </w:t>
      </w:r>
      <w:r w:rsidRPr="00FD1DC0">
        <w:rPr>
          <w:rFonts w:ascii="Times New Roman" w:hAnsi="Times New Roman" w:cs="Times New Roman"/>
          <w:lang w:val="es-BO"/>
        </w:rPr>
        <w:t xml:space="preserve">al mismo </w:t>
      </w:r>
      <w:r w:rsidR="00C84839" w:rsidRPr="00FD1DC0">
        <w:rPr>
          <w:rFonts w:ascii="Times New Roman" w:hAnsi="Times New Roman" w:cs="Times New Roman"/>
          <w:lang w:val="es-BO"/>
        </w:rPr>
        <w:t xml:space="preserve">tiempo </w:t>
      </w:r>
      <w:r w:rsidR="00D07F01" w:rsidRPr="00FD1DC0">
        <w:rPr>
          <w:rFonts w:ascii="Times New Roman" w:hAnsi="Times New Roman" w:cs="Times New Roman"/>
          <w:lang w:val="es-BO"/>
        </w:rPr>
        <w:t>que anunciaba</w:t>
      </w:r>
      <w:r w:rsidR="00C84839" w:rsidRPr="00FD1DC0">
        <w:rPr>
          <w:rFonts w:ascii="Times New Roman" w:hAnsi="Times New Roman" w:cs="Times New Roman"/>
          <w:lang w:val="es-BO"/>
        </w:rPr>
        <w:t>n</w:t>
      </w:r>
      <w:r w:rsidR="00922BB2" w:rsidRPr="00FD1DC0">
        <w:rPr>
          <w:rFonts w:ascii="Times New Roman" w:hAnsi="Times New Roman" w:cs="Times New Roman"/>
          <w:lang w:val="es-BO"/>
        </w:rPr>
        <w:t xml:space="preserve"> desde el comienzo</w:t>
      </w:r>
      <w:r w:rsidR="00D07F01" w:rsidRPr="00FD1DC0">
        <w:rPr>
          <w:rFonts w:ascii="Times New Roman" w:hAnsi="Times New Roman" w:cs="Times New Roman"/>
          <w:lang w:val="es-BO"/>
        </w:rPr>
        <w:t xml:space="preserve"> que el principal instrumento </w:t>
      </w:r>
      <w:r w:rsidR="00C84839" w:rsidRPr="00FD1DC0">
        <w:rPr>
          <w:rFonts w:ascii="Times New Roman" w:hAnsi="Times New Roman" w:cs="Times New Roman"/>
          <w:lang w:val="es-BO"/>
        </w:rPr>
        <w:t>de política monetaria seria la tasa de interés de corto plazo.</w:t>
      </w:r>
    </w:p>
    <w:p w14:paraId="14CF475A" w14:textId="3F436CA7" w:rsidR="00BE1A07" w:rsidRPr="00FD1DC0" w:rsidRDefault="00DC71F8" w:rsidP="00BE1A07">
      <w:pPr>
        <w:pStyle w:val="Ttulo3"/>
        <w:spacing w:after="0" w:line="360" w:lineRule="auto"/>
        <w:ind w:left="45" w:right="369"/>
        <w:rPr>
          <w:rFonts w:ascii="Times New Roman" w:hAnsi="Times New Roman" w:cs="Times New Roman"/>
          <w:lang w:val="es-BO"/>
        </w:rPr>
      </w:pPr>
      <w:r w:rsidRPr="00FD1DC0">
        <w:rPr>
          <w:rFonts w:ascii="Times New Roman" w:hAnsi="Times New Roman" w:cs="Times New Roman"/>
          <w:lang w:val="es-BO"/>
        </w:rPr>
        <w:t>Propuesta de políticas económicas</w:t>
      </w:r>
      <w:r w:rsidR="00BE1A07" w:rsidRPr="00FD1DC0">
        <w:rPr>
          <w:rFonts w:ascii="Times New Roman" w:hAnsi="Times New Roman" w:cs="Times New Roman"/>
          <w:lang w:val="es-BO"/>
        </w:rPr>
        <w:t xml:space="preserve"> en México y Brasil</w:t>
      </w:r>
    </w:p>
    <w:p w14:paraId="5BC4922D" w14:textId="3884816A" w:rsidR="00BE1A07" w:rsidRPr="00FD1DC0" w:rsidRDefault="004617E2" w:rsidP="00BE1A07">
      <w:pPr>
        <w:spacing w:after="0" w:line="360" w:lineRule="auto"/>
        <w:ind w:left="62" w:right="539" w:hanging="11"/>
        <w:rPr>
          <w:rFonts w:ascii="Times New Roman" w:hAnsi="Times New Roman" w:cs="Times New Roman"/>
          <w:lang w:val="es-BO"/>
        </w:rPr>
      </w:pPr>
      <w:r w:rsidRPr="00FD1DC0">
        <w:rPr>
          <w:rFonts w:ascii="Times New Roman" w:hAnsi="Times New Roman" w:cs="Times New Roman"/>
          <w:lang w:val="es-BO"/>
        </w:rPr>
        <w:t xml:space="preserve">De acuerdo a la hipótesis de </w:t>
      </w:r>
      <w:r w:rsidR="00BE1A07" w:rsidRPr="00FD1DC0">
        <w:rPr>
          <w:rFonts w:ascii="Times New Roman" w:hAnsi="Times New Roman" w:cs="Times New Roman"/>
          <w:lang w:val="es-BO"/>
        </w:rPr>
        <w:t>investigación</w:t>
      </w:r>
      <w:r w:rsidRPr="00FD1DC0">
        <w:rPr>
          <w:rFonts w:ascii="Times New Roman" w:hAnsi="Times New Roman" w:cs="Times New Roman"/>
          <w:lang w:val="es-BO"/>
        </w:rPr>
        <w:t xml:space="preserve"> que se presentó</w:t>
      </w:r>
      <w:r w:rsidR="00BE1A07" w:rsidRPr="00FD1DC0">
        <w:rPr>
          <w:rFonts w:ascii="Times New Roman" w:hAnsi="Times New Roman" w:cs="Times New Roman"/>
          <w:lang w:val="es-BO"/>
        </w:rPr>
        <w:t xml:space="preserve"> </w:t>
      </w:r>
      <w:r w:rsidRPr="00FD1DC0">
        <w:rPr>
          <w:rFonts w:ascii="Times New Roman" w:hAnsi="Times New Roman" w:cs="Times New Roman"/>
          <w:lang w:val="es-BO"/>
        </w:rPr>
        <w:t xml:space="preserve">de </w:t>
      </w:r>
      <w:r w:rsidR="00BE1A07" w:rsidRPr="00FD1DC0">
        <w:rPr>
          <w:rFonts w:ascii="Times New Roman" w:hAnsi="Times New Roman" w:cs="Times New Roman"/>
          <w:lang w:val="es-BO"/>
        </w:rPr>
        <w:t>que los Bancos Centrales de México y Brasil han intervenido</w:t>
      </w:r>
      <w:r w:rsidRPr="00FD1DC0">
        <w:rPr>
          <w:rFonts w:ascii="Times New Roman" w:hAnsi="Times New Roman" w:cs="Times New Roman"/>
          <w:lang w:val="es-BO"/>
        </w:rPr>
        <w:t xml:space="preserve"> recurrentemente en</w:t>
      </w:r>
      <w:r w:rsidR="00BE1A07" w:rsidRPr="00FD1DC0">
        <w:rPr>
          <w:rFonts w:ascii="Times New Roman" w:hAnsi="Times New Roman" w:cs="Times New Roman"/>
          <w:lang w:val="es-BO"/>
        </w:rPr>
        <w:t xml:space="preserve"> los mercados cambiarios para mantener fi</w:t>
      </w:r>
      <w:r w:rsidRPr="00FD1DC0">
        <w:rPr>
          <w:rFonts w:ascii="Times New Roman" w:hAnsi="Times New Roman" w:cs="Times New Roman"/>
          <w:lang w:val="es-BO"/>
        </w:rPr>
        <w:t>jo el tipo de cambio nominal y con ello lograr el objetivo de inflación</w:t>
      </w:r>
      <w:r w:rsidR="00BE1A07" w:rsidRPr="00FD1DC0">
        <w:rPr>
          <w:rFonts w:ascii="Times New Roman" w:hAnsi="Times New Roman" w:cs="Times New Roman"/>
          <w:lang w:val="es-BO"/>
        </w:rPr>
        <w:t xml:space="preserve">, pero </w:t>
      </w:r>
      <w:r w:rsidRPr="00FD1DC0">
        <w:rPr>
          <w:rFonts w:ascii="Times New Roman" w:hAnsi="Times New Roman" w:cs="Times New Roman"/>
          <w:lang w:val="es-BO"/>
        </w:rPr>
        <w:t xml:space="preserve">la misma </w:t>
      </w:r>
      <w:r w:rsidR="00E030E7" w:rsidRPr="00FD1DC0">
        <w:rPr>
          <w:rFonts w:ascii="Times New Roman" w:hAnsi="Times New Roman" w:cs="Times New Roman"/>
          <w:lang w:val="es-BO"/>
        </w:rPr>
        <w:t xml:space="preserve">no evita la apreciación </w:t>
      </w:r>
      <w:r w:rsidRPr="00FD1DC0">
        <w:rPr>
          <w:rFonts w:ascii="Times New Roman" w:hAnsi="Times New Roman" w:cs="Times New Roman"/>
          <w:lang w:val="es-BO"/>
        </w:rPr>
        <w:t>del tipo de cambio real, se puede presentar algunas propuestas de política monetaria.</w:t>
      </w:r>
    </w:p>
    <w:p w14:paraId="189585C5" w14:textId="1BBDD9F4" w:rsidR="004617E2" w:rsidRPr="00FD1DC0" w:rsidRDefault="004617E2" w:rsidP="00BE1A07">
      <w:pPr>
        <w:spacing w:after="0" w:line="360" w:lineRule="auto"/>
        <w:ind w:left="62" w:right="539" w:hanging="11"/>
        <w:rPr>
          <w:rFonts w:ascii="Times New Roman" w:hAnsi="Times New Roman" w:cs="Times New Roman"/>
          <w:szCs w:val="24"/>
          <w:lang w:val="es-BO"/>
        </w:rPr>
      </w:pPr>
      <w:r w:rsidRPr="00FD1DC0">
        <w:rPr>
          <w:rFonts w:ascii="Times New Roman" w:hAnsi="Times New Roman" w:cs="Times New Roman"/>
          <w:szCs w:val="24"/>
          <w:lang w:val="es-BO"/>
        </w:rPr>
        <w:t xml:space="preserve">Una primera opción, es que ambos bancos centrales </w:t>
      </w:r>
      <w:r w:rsidR="005861F3" w:rsidRPr="00FD1DC0">
        <w:rPr>
          <w:rFonts w:ascii="Times New Roman" w:hAnsi="Times New Roman" w:cs="Times New Roman"/>
          <w:szCs w:val="24"/>
          <w:lang w:val="es-BO"/>
        </w:rPr>
        <w:t>busquen los mecanismos de política con la finalidad</w:t>
      </w:r>
      <w:r w:rsidRPr="00FD1DC0">
        <w:rPr>
          <w:rFonts w:ascii="Times New Roman" w:hAnsi="Times New Roman" w:cs="Times New Roman"/>
          <w:szCs w:val="24"/>
          <w:lang w:val="es-BO"/>
        </w:rPr>
        <w:t xml:space="preserve"> de estimular un tipo de cambio competitivo</w:t>
      </w:r>
      <w:r w:rsidR="00023C84" w:rsidRPr="00FD1DC0">
        <w:rPr>
          <w:rFonts w:ascii="Times New Roman" w:hAnsi="Times New Roman" w:cs="Times New Roman"/>
          <w:szCs w:val="24"/>
          <w:lang w:val="es-BO"/>
        </w:rPr>
        <w:t>, a fin de prevenir una exacerbada</w:t>
      </w:r>
      <w:r w:rsidRPr="00FD1DC0">
        <w:rPr>
          <w:rFonts w:ascii="Times New Roman" w:hAnsi="Times New Roman" w:cs="Times New Roman"/>
          <w:szCs w:val="24"/>
          <w:lang w:val="es-BO"/>
        </w:rPr>
        <w:t xml:space="preserve"> sobrevaluación del tipo de cambio real</w:t>
      </w:r>
      <w:r w:rsidR="00023C84" w:rsidRPr="00FD1DC0">
        <w:rPr>
          <w:rFonts w:ascii="Times New Roman" w:hAnsi="Times New Roman" w:cs="Times New Roman"/>
          <w:szCs w:val="24"/>
          <w:lang w:val="es-BO"/>
        </w:rPr>
        <w:t>. La misma daría como resultado</w:t>
      </w:r>
      <w:r w:rsidRPr="00FD1DC0">
        <w:rPr>
          <w:rFonts w:ascii="Times New Roman" w:hAnsi="Times New Roman" w:cs="Times New Roman"/>
          <w:szCs w:val="24"/>
          <w:lang w:val="es-BO"/>
        </w:rPr>
        <w:t xml:space="preserve">, </w:t>
      </w:r>
      <w:r w:rsidR="00023C84" w:rsidRPr="00FD1DC0">
        <w:rPr>
          <w:rFonts w:ascii="Times New Roman" w:hAnsi="Times New Roman" w:cs="Times New Roman"/>
          <w:szCs w:val="24"/>
          <w:lang w:val="es-BO"/>
        </w:rPr>
        <w:t>que ambos bancos centrales</w:t>
      </w:r>
      <w:r w:rsidRPr="00FD1DC0">
        <w:rPr>
          <w:rFonts w:ascii="Times New Roman" w:hAnsi="Times New Roman" w:cs="Times New Roman"/>
          <w:szCs w:val="24"/>
          <w:lang w:val="es-BO"/>
        </w:rPr>
        <w:t xml:space="preserve"> intervenga</w:t>
      </w:r>
      <w:r w:rsidR="00023C84" w:rsidRPr="00FD1DC0">
        <w:rPr>
          <w:rFonts w:ascii="Times New Roman" w:hAnsi="Times New Roman" w:cs="Times New Roman"/>
          <w:szCs w:val="24"/>
          <w:lang w:val="es-BO"/>
        </w:rPr>
        <w:t>n</w:t>
      </w:r>
      <w:r w:rsidRPr="00FD1DC0">
        <w:rPr>
          <w:rFonts w:ascii="Times New Roman" w:hAnsi="Times New Roman" w:cs="Times New Roman"/>
          <w:szCs w:val="24"/>
          <w:lang w:val="es-BO"/>
        </w:rPr>
        <w:t xml:space="preserve"> en el mercado cambiario. </w:t>
      </w:r>
    </w:p>
    <w:p w14:paraId="409D5E34" w14:textId="04EF3306" w:rsidR="00437601" w:rsidRPr="00FD1DC0" w:rsidRDefault="00AD08D3" w:rsidP="00B36DC7">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 xml:space="preserve">Por lo tanto, </w:t>
      </w:r>
      <w:r w:rsidR="00F74752" w:rsidRPr="00FD1DC0">
        <w:rPr>
          <w:rFonts w:ascii="Times New Roman" w:hAnsi="Times New Roman" w:cs="Times New Roman"/>
          <w:szCs w:val="24"/>
          <w:lang w:val="es-BO"/>
        </w:rPr>
        <w:t xml:space="preserve">para </w:t>
      </w:r>
      <w:r w:rsidRPr="00FD1DC0">
        <w:rPr>
          <w:rFonts w:ascii="Times New Roman" w:hAnsi="Times New Roman" w:cs="Times New Roman"/>
          <w:szCs w:val="24"/>
          <w:lang w:val="es-BO"/>
        </w:rPr>
        <w:t>estimular</w:t>
      </w:r>
      <w:r w:rsidR="00E929C6" w:rsidRPr="00FD1DC0">
        <w:rPr>
          <w:rFonts w:ascii="Times New Roman" w:hAnsi="Times New Roman" w:cs="Times New Roman"/>
          <w:szCs w:val="24"/>
          <w:lang w:val="es-BO"/>
        </w:rPr>
        <w:t xml:space="preserve"> el crecimiento económico y </w:t>
      </w:r>
      <w:r w:rsidRPr="00FD1DC0">
        <w:rPr>
          <w:rFonts w:ascii="Times New Roman" w:hAnsi="Times New Roman" w:cs="Times New Roman"/>
          <w:szCs w:val="24"/>
          <w:lang w:val="es-BO"/>
        </w:rPr>
        <w:t>otras variables</w:t>
      </w:r>
      <w:r w:rsidR="00F74752" w:rsidRPr="00FD1DC0">
        <w:rPr>
          <w:rFonts w:ascii="Times New Roman" w:hAnsi="Times New Roman" w:cs="Times New Roman"/>
          <w:szCs w:val="24"/>
          <w:lang w:val="es-BO"/>
        </w:rPr>
        <w:t xml:space="preserve"> reales clave, se necesitaría de parte de ambos gobiernos</w:t>
      </w:r>
      <w:r w:rsidR="00E929C6" w:rsidRPr="00FD1DC0">
        <w:rPr>
          <w:rFonts w:ascii="Times New Roman" w:hAnsi="Times New Roman" w:cs="Times New Roman"/>
          <w:szCs w:val="24"/>
          <w:lang w:val="es-BO"/>
        </w:rPr>
        <w:t xml:space="preserve"> que exista una buena coordinación de políticas monetaria, fiscal y cambiaria</w:t>
      </w:r>
      <w:r w:rsidR="001570C1" w:rsidRPr="00FD1DC0">
        <w:rPr>
          <w:rFonts w:ascii="Times New Roman" w:hAnsi="Times New Roman" w:cs="Times New Roman"/>
          <w:szCs w:val="24"/>
          <w:lang w:val="es-BO"/>
        </w:rPr>
        <w:t xml:space="preserve"> entorno a estos objetivos mencionados</w:t>
      </w:r>
      <w:r w:rsidR="001E52BD" w:rsidRPr="00FD1DC0">
        <w:rPr>
          <w:rFonts w:ascii="Times New Roman" w:hAnsi="Times New Roman" w:cs="Times New Roman"/>
          <w:szCs w:val="24"/>
          <w:lang w:val="es-BO"/>
        </w:rPr>
        <w:t>.</w:t>
      </w:r>
    </w:p>
    <w:p w14:paraId="6332FCD0" w14:textId="572ADCCF" w:rsidR="00B36DC7" w:rsidRPr="00FD1DC0" w:rsidRDefault="00AD27ED" w:rsidP="00FE2DC6">
      <w:pPr>
        <w:spacing w:after="0" w:line="360" w:lineRule="auto"/>
        <w:ind w:left="50" w:firstLine="0"/>
        <w:rPr>
          <w:rFonts w:ascii="Times New Roman" w:hAnsi="Times New Roman" w:cs="Times New Roman"/>
          <w:szCs w:val="24"/>
          <w:lang w:val="es-BO"/>
        </w:rPr>
      </w:pPr>
      <w:r w:rsidRPr="00FD1DC0">
        <w:rPr>
          <w:rFonts w:ascii="Times New Roman" w:hAnsi="Times New Roman" w:cs="Times New Roman"/>
          <w:szCs w:val="24"/>
          <w:lang w:val="es-BO"/>
        </w:rPr>
        <w:t xml:space="preserve">Una segunda opción, </w:t>
      </w:r>
      <w:r w:rsidR="00AA6266" w:rsidRPr="00FD1DC0">
        <w:rPr>
          <w:rFonts w:ascii="Times New Roman" w:hAnsi="Times New Roman" w:cs="Times New Roman"/>
          <w:szCs w:val="24"/>
          <w:lang w:val="es-BO"/>
        </w:rPr>
        <w:t>es considerar dentro del modelo de objetivos de inflación las deficiencias estructurales que caracterizan a las economías en desarrollo y que la misma permite</w:t>
      </w:r>
      <w:r w:rsidR="00B36DC7" w:rsidRPr="00FD1DC0">
        <w:rPr>
          <w:rFonts w:ascii="Times New Roman" w:hAnsi="Times New Roman" w:cs="Times New Roman"/>
          <w:szCs w:val="24"/>
          <w:lang w:val="es-BO"/>
        </w:rPr>
        <w:t xml:space="preserve"> en gran medida</w:t>
      </w:r>
      <w:r w:rsidR="00AA6266" w:rsidRPr="00FD1DC0">
        <w:rPr>
          <w:rFonts w:ascii="Times New Roman" w:hAnsi="Times New Roman" w:cs="Times New Roman"/>
          <w:szCs w:val="24"/>
          <w:lang w:val="es-BO"/>
        </w:rPr>
        <w:t xml:space="preserve"> que la tasa de inflación sea altamente elástica a variaciones del tipo de cambio.</w:t>
      </w:r>
      <w:r w:rsidR="00B36DC7" w:rsidRPr="00FD1DC0">
        <w:rPr>
          <w:rFonts w:ascii="Times New Roman" w:hAnsi="Times New Roman" w:cs="Times New Roman"/>
          <w:color w:val="auto"/>
          <w:szCs w:val="24"/>
          <w:lang w:val="es-BO"/>
        </w:rPr>
        <w:t xml:space="preserve"> Por lo tanto, el no tomar en cuenta las causas estructurales de la tasa de inflación en las economías en vías de desarrollo, podría ser un grave obstáculo al momento de aplicar eficazmente la política de un tipo de cambio competitivo que genere un efecto positivo en las variables reales.</w:t>
      </w:r>
      <w:r w:rsidR="00B36DC7" w:rsidRPr="00FD1DC0">
        <w:rPr>
          <w:rFonts w:ascii="Times New Roman" w:hAnsi="Times New Roman" w:cs="Times New Roman"/>
          <w:szCs w:val="24"/>
          <w:lang w:val="es-BO"/>
        </w:rPr>
        <w:t xml:space="preserve"> Por esta razón, es importante que la política de </w:t>
      </w:r>
      <w:r w:rsidR="00A332C0" w:rsidRPr="00FD1DC0">
        <w:rPr>
          <w:rFonts w:ascii="Times New Roman" w:hAnsi="Times New Roman" w:cs="Times New Roman"/>
          <w:szCs w:val="24"/>
          <w:lang w:val="es-BO"/>
        </w:rPr>
        <w:t>aplicación</w:t>
      </w:r>
      <w:r w:rsidR="00B36DC7" w:rsidRPr="00FD1DC0">
        <w:rPr>
          <w:rFonts w:ascii="Times New Roman" w:hAnsi="Times New Roman" w:cs="Times New Roman"/>
          <w:szCs w:val="24"/>
          <w:lang w:val="es-BO"/>
        </w:rPr>
        <w:t xml:space="preserve"> del ROI</w:t>
      </w:r>
      <w:r w:rsidR="00A332C0" w:rsidRPr="00FD1DC0">
        <w:rPr>
          <w:rFonts w:ascii="Times New Roman" w:hAnsi="Times New Roman" w:cs="Times New Roman"/>
          <w:szCs w:val="24"/>
          <w:lang w:val="es-BO"/>
        </w:rPr>
        <w:t xml:space="preserve">, pueda ser complementada con </w:t>
      </w:r>
      <w:r w:rsidR="00B36DC7" w:rsidRPr="00FD1DC0">
        <w:rPr>
          <w:rFonts w:ascii="Times New Roman" w:hAnsi="Times New Roman" w:cs="Times New Roman"/>
          <w:szCs w:val="24"/>
          <w:lang w:val="es-BO"/>
        </w:rPr>
        <w:t>programas que estimule</w:t>
      </w:r>
      <w:r w:rsidR="00A332C0" w:rsidRPr="00FD1DC0">
        <w:rPr>
          <w:rFonts w:ascii="Times New Roman" w:hAnsi="Times New Roman" w:cs="Times New Roman"/>
          <w:szCs w:val="24"/>
          <w:lang w:val="es-BO"/>
        </w:rPr>
        <w:t xml:space="preserve">n el desarrollo industrial, políticas contraciclicas en momentos en que la economía podría entrar en recesión y finalmente acompañado del establecimiento de metas reales por parte de las autoridades monetarias. </w:t>
      </w:r>
      <w:r w:rsidR="00B36DC7" w:rsidRPr="00FD1DC0">
        <w:rPr>
          <w:rFonts w:ascii="Times New Roman" w:hAnsi="Times New Roman" w:cs="Times New Roman"/>
          <w:szCs w:val="24"/>
          <w:lang w:val="es-BO"/>
        </w:rPr>
        <w:t xml:space="preserve"> </w:t>
      </w:r>
    </w:p>
    <w:p w14:paraId="246957CA" w14:textId="1562C6EA" w:rsidR="00A8367F" w:rsidRPr="00FD1DC0" w:rsidRDefault="00FE2DC6" w:rsidP="00CA6EFF">
      <w:pPr>
        <w:spacing w:after="0" w:line="360" w:lineRule="auto"/>
        <w:ind w:right="539"/>
        <w:rPr>
          <w:rFonts w:ascii="Times New Roman" w:hAnsi="Times New Roman" w:cs="Times New Roman"/>
          <w:szCs w:val="24"/>
          <w:lang w:val="es-BO"/>
        </w:rPr>
      </w:pPr>
      <w:r w:rsidRPr="00FD1DC0">
        <w:rPr>
          <w:rFonts w:ascii="Times New Roman" w:hAnsi="Times New Roman" w:cs="Times New Roman"/>
          <w:szCs w:val="24"/>
          <w:lang w:val="es-BO"/>
        </w:rPr>
        <w:t>Respecto al establecimiento de metas reales, s</w:t>
      </w:r>
      <w:r w:rsidR="0044239C" w:rsidRPr="00FD1DC0">
        <w:rPr>
          <w:rFonts w:ascii="Times New Roman" w:hAnsi="Times New Roman" w:cs="Times New Roman"/>
          <w:szCs w:val="24"/>
          <w:lang w:val="es-BO"/>
        </w:rPr>
        <w:t xml:space="preserve">egún </w:t>
      </w:r>
      <w:r w:rsidR="00A8367F" w:rsidRPr="00FD1DC0">
        <w:rPr>
          <w:rFonts w:ascii="Times New Roman" w:hAnsi="Times New Roman" w:cs="Times New Roman"/>
          <w:szCs w:val="24"/>
          <w:lang w:val="es-BO"/>
        </w:rPr>
        <w:t>(Epst</w:t>
      </w:r>
      <w:r w:rsidR="0044239C" w:rsidRPr="00FD1DC0">
        <w:rPr>
          <w:rFonts w:ascii="Times New Roman" w:hAnsi="Times New Roman" w:cs="Times New Roman"/>
          <w:szCs w:val="24"/>
          <w:lang w:val="es-BO"/>
        </w:rPr>
        <w:t xml:space="preserve">ein y Yeldan, 2008; Pollin et al. </w:t>
      </w:r>
      <w:r w:rsidR="00A8367F" w:rsidRPr="00FD1DC0">
        <w:rPr>
          <w:rFonts w:ascii="Times New Roman" w:hAnsi="Times New Roman" w:cs="Times New Roman"/>
          <w:szCs w:val="24"/>
          <w:lang w:val="es-BO"/>
        </w:rPr>
        <w:t xml:space="preserve">2006), </w:t>
      </w:r>
      <w:r w:rsidR="0044239C" w:rsidRPr="00FD1DC0">
        <w:rPr>
          <w:rFonts w:ascii="Times New Roman" w:hAnsi="Times New Roman" w:cs="Times New Roman"/>
          <w:szCs w:val="24"/>
          <w:lang w:val="es-BO"/>
        </w:rPr>
        <w:t>una política monetaria que además de permitir estabilizar los precios, también persiga objetivos reales tendría las</w:t>
      </w:r>
      <w:r w:rsidR="00A8367F" w:rsidRPr="00FD1DC0">
        <w:rPr>
          <w:rFonts w:ascii="Times New Roman" w:hAnsi="Times New Roman" w:cs="Times New Roman"/>
          <w:szCs w:val="24"/>
          <w:lang w:val="es-BO"/>
        </w:rPr>
        <w:t xml:space="preserve"> siguientes ventajas:</w:t>
      </w:r>
    </w:p>
    <w:p w14:paraId="78599415" w14:textId="039304A0" w:rsidR="00A8367F" w:rsidRPr="00FD1DC0" w:rsidRDefault="0044239C" w:rsidP="00CA6EFF">
      <w:pPr>
        <w:spacing w:after="0" w:line="360" w:lineRule="auto"/>
        <w:ind w:right="539"/>
        <w:rPr>
          <w:rFonts w:ascii="Times New Roman" w:hAnsi="Times New Roman" w:cs="Times New Roman"/>
          <w:szCs w:val="24"/>
          <w:lang w:val="es-BO"/>
        </w:rPr>
      </w:pPr>
      <w:r w:rsidRPr="00FD1DC0">
        <w:rPr>
          <w:rFonts w:ascii="Times New Roman" w:hAnsi="Times New Roman" w:cs="Times New Roman"/>
          <w:szCs w:val="24"/>
          <w:lang w:val="es-BO"/>
        </w:rPr>
        <w:t>a) Tomar en cuenta variables económicas</w:t>
      </w:r>
      <w:r w:rsidR="00A8367F"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que se encuentran altamente correlacionados</w:t>
      </w:r>
      <w:r w:rsidR="00A8367F" w:rsidRPr="00FD1DC0">
        <w:rPr>
          <w:rFonts w:ascii="Times New Roman" w:hAnsi="Times New Roman" w:cs="Times New Roman"/>
          <w:szCs w:val="24"/>
          <w:lang w:val="es-BO"/>
        </w:rPr>
        <w:t xml:space="preserve"> con el bienestar social.</w:t>
      </w:r>
    </w:p>
    <w:p w14:paraId="1F92D035" w14:textId="262B16DA" w:rsidR="00A8367F" w:rsidRPr="00FD1DC0" w:rsidRDefault="0044239C" w:rsidP="00CA6EFF">
      <w:pPr>
        <w:spacing w:after="0" w:line="360" w:lineRule="auto"/>
        <w:ind w:right="539"/>
        <w:rPr>
          <w:rFonts w:ascii="Times New Roman" w:hAnsi="Times New Roman" w:cs="Times New Roman"/>
          <w:szCs w:val="24"/>
          <w:lang w:val="es-BO"/>
        </w:rPr>
      </w:pPr>
      <w:r w:rsidRPr="00FD1DC0">
        <w:rPr>
          <w:rFonts w:ascii="Times New Roman" w:hAnsi="Times New Roman" w:cs="Times New Roman"/>
          <w:szCs w:val="24"/>
          <w:lang w:val="es-BO"/>
        </w:rPr>
        <w:t xml:space="preserve">b) La autoridad monetaria </w:t>
      </w:r>
      <w:r w:rsidR="00EA4970" w:rsidRPr="00FD1DC0">
        <w:rPr>
          <w:rFonts w:ascii="Times New Roman" w:hAnsi="Times New Roman" w:cs="Times New Roman"/>
          <w:szCs w:val="24"/>
          <w:lang w:val="es-BO"/>
        </w:rPr>
        <w:t>a través de su directorio se esforzaría</w:t>
      </w:r>
      <w:r w:rsidRPr="00FD1DC0">
        <w:rPr>
          <w:rFonts w:ascii="Times New Roman" w:hAnsi="Times New Roman" w:cs="Times New Roman"/>
          <w:szCs w:val="24"/>
          <w:lang w:val="es-BO"/>
        </w:rPr>
        <w:t xml:space="preserve"> </w:t>
      </w:r>
      <w:r w:rsidR="00EA4970" w:rsidRPr="00FD1DC0">
        <w:rPr>
          <w:rFonts w:ascii="Times New Roman" w:hAnsi="Times New Roman" w:cs="Times New Roman"/>
          <w:szCs w:val="24"/>
          <w:lang w:val="es-BO"/>
        </w:rPr>
        <w:t>en</w:t>
      </w:r>
      <w:r w:rsidR="00A8367F"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implementar nuevos instrumentos de política monetaria.</w:t>
      </w:r>
    </w:p>
    <w:p w14:paraId="3E17F8BA" w14:textId="7590B8E3" w:rsidR="00A8367F" w:rsidRPr="00FD1DC0" w:rsidRDefault="00A8367F" w:rsidP="00CA6EFF">
      <w:pPr>
        <w:spacing w:after="0" w:line="360" w:lineRule="auto"/>
        <w:ind w:left="50" w:right="539" w:firstLine="0"/>
        <w:rPr>
          <w:rFonts w:ascii="Times New Roman" w:hAnsi="Times New Roman" w:cs="Times New Roman"/>
          <w:szCs w:val="24"/>
          <w:lang w:val="es-BO"/>
        </w:rPr>
      </w:pPr>
      <w:r w:rsidRPr="00FD1DC0">
        <w:rPr>
          <w:rFonts w:ascii="Times New Roman" w:hAnsi="Times New Roman" w:cs="Times New Roman"/>
          <w:szCs w:val="24"/>
          <w:lang w:val="es-BO"/>
        </w:rPr>
        <w:t xml:space="preserve">c)  </w:t>
      </w:r>
      <w:r w:rsidR="00EA4970" w:rsidRPr="00FD1DC0">
        <w:rPr>
          <w:rFonts w:ascii="Times New Roman" w:hAnsi="Times New Roman" w:cs="Times New Roman"/>
          <w:szCs w:val="24"/>
          <w:lang w:val="es-BO"/>
        </w:rPr>
        <w:t>A</w:t>
      </w:r>
      <w:r w:rsidR="0044239C" w:rsidRPr="00FD1DC0">
        <w:rPr>
          <w:rFonts w:ascii="Times New Roman" w:hAnsi="Times New Roman" w:cs="Times New Roman"/>
          <w:szCs w:val="24"/>
          <w:lang w:val="es-BO"/>
        </w:rPr>
        <w:t>decuar los objetivos de política</w:t>
      </w:r>
      <w:r w:rsidRPr="00FD1DC0">
        <w:rPr>
          <w:rFonts w:ascii="Times New Roman" w:hAnsi="Times New Roman" w:cs="Times New Roman"/>
          <w:szCs w:val="24"/>
          <w:lang w:val="es-BO"/>
        </w:rPr>
        <w:t xml:space="preserve"> </w:t>
      </w:r>
      <w:r w:rsidR="0044239C" w:rsidRPr="00FD1DC0">
        <w:rPr>
          <w:rFonts w:ascii="Times New Roman" w:hAnsi="Times New Roman" w:cs="Times New Roman"/>
          <w:szCs w:val="24"/>
          <w:lang w:val="es-BO"/>
        </w:rPr>
        <w:t xml:space="preserve">monetaria a las </w:t>
      </w:r>
      <w:r w:rsidRPr="00FD1DC0">
        <w:rPr>
          <w:rFonts w:ascii="Times New Roman" w:hAnsi="Times New Roman" w:cs="Times New Roman"/>
          <w:szCs w:val="24"/>
          <w:lang w:val="es-BO"/>
        </w:rPr>
        <w:t>necesidades propias de cada país.</w:t>
      </w:r>
    </w:p>
    <w:p w14:paraId="514CFA89" w14:textId="224F5CC3" w:rsidR="00BC7297" w:rsidRPr="00FD1DC0" w:rsidRDefault="005B0A33" w:rsidP="003E1E29">
      <w:pPr>
        <w:spacing w:after="0" w:line="360" w:lineRule="auto"/>
        <w:ind w:right="539"/>
        <w:rPr>
          <w:rFonts w:ascii="Times New Roman" w:hAnsi="Times New Roman" w:cs="Times New Roman"/>
          <w:szCs w:val="24"/>
          <w:lang w:val="es-BO"/>
        </w:rPr>
      </w:pPr>
      <w:r w:rsidRPr="00FD1DC0">
        <w:rPr>
          <w:rFonts w:ascii="Times New Roman" w:hAnsi="Times New Roman" w:cs="Times New Roman"/>
          <w:szCs w:val="24"/>
          <w:lang w:val="es-BO"/>
        </w:rPr>
        <w:t>En función a lo mencionado las posibles herramientas a utilizar para lograr estabilidad de precios y un buen desempeño en variables reales clave sería</w:t>
      </w:r>
      <w:r w:rsidR="00A8367F" w:rsidRPr="00FD1DC0">
        <w:rPr>
          <w:rFonts w:ascii="Times New Roman" w:hAnsi="Times New Roman" w:cs="Times New Roman"/>
          <w:szCs w:val="24"/>
          <w:lang w:val="es-BO"/>
        </w:rPr>
        <w:t>: el otorgamiento selectivo de créditos</w:t>
      </w:r>
      <w:r w:rsidRPr="00FD1DC0">
        <w:rPr>
          <w:rFonts w:ascii="Times New Roman" w:hAnsi="Times New Roman" w:cs="Times New Roman"/>
          <w:szCs w:val="24"/>
          <w:lang w:val="es-BO"/>
        </w:rPr>
        <w:t xml:space="preserve"> por parte de la banca pública y la misma transmitida a través de los canales necesarios a la banca privada con la finalidad de fomentar el crédito y </w:t>
      </w:r>
      <w:r w:rsidR="007148A3" w:rsidRPr="00FD1DC0">
        <w:rPr>
          <w:rFonts w:ascii="Times New Roman" w:hAnsi="Times New Roman" w:cs="Times New Roman"/>
          <w:szCs w:val="24"/>
          <w:lang w:val="es-BO"/>
        </w:rPr>
        <w:t>posteriormente</w:t>
      </w:r>
      <w:r w:rsidRPr="00FD1DC0">
        <w:rPr>
          <w:rFonts w:ascii="Times New Roman" w:hAnsi="Times New Roman" w:cs="Times New Roman"/>
          <w:szCs w:val="24"/>
          <w:lang w:val="es-BO"/>
        </w:rPr>
        <w:t xml:space="preserve"> su colocación en inversión</w:t>
      </w:r>
      <w:r w:rsidR="00A8367F" w:rsidRPr="00FD1DC0">
        <w:rPr>
          <w:rFonts w:ascii="Times New Roman" w:hAnsi="Times New Roman" w:cs="Times New Roman"/>
          <w:szCs w:val="24"/>
          <w:lang w:val="es-BO"/>
        </w:rPr>
        <w:t>; la promoción</w:t>
      </w:r>
      <w:r w:rsidR="007148A3" w:rsidRPr="00FD1DC0">
        <w:rPr>
          <w:rFonts w:ascii="Times New Roman" w:hAnsi="Times New Roman" w:cs="Times New Roman"/>
          <w:szCs w:val="24"/>
          <w:lang w:val="es-BO"/>
        </w:rPr>
        <w:t xml:space="preserve">, </w:t>
      </w:r>
      <w:r w:rsidR="008B2490" w:rsidRPr="00FD1DC0">
        <w:rPr>
          <w:rFonts w:ascii="Times New Roman" w:hAnsi="Times New Roman" w:cs="Times New Roman"/>
          <w:szCs w:val="24"/>
          <w:lang w:val="es-BO"/>
        </w:rPr>
        <w:t>fomento</w:t>
      </w:r>
      <w:r w:rsidR="007148A3" w:rsidRPr="00FD1DC0">
        <w:rPr>
          <w:rFonts w:ascii="Times New Roman" w:hAnsi="Times New Roman" w:cs="Times New Roman"/>
          <w:szCs w:val="24"/>
          <w:lang w:val="es-BO"/>
        </w:rPr>
        <w:t xml:space="preserve"> y mayor apoyo de parte del Estado</w:t>
      </w:r>
      <w:r w:rsidR="00A8367F" w:rsidRPr="00FD1DC0">
        <w:rPr>
          <w:rFonts w:ascii="Times New Roman" w:hAnsi="Times New Roman" w:cs="Times New Roman"/>
          <w:szCs w:val="24"/>
          <w:lang w:val="es-BO"/>
        </w:rPr>
        <w:t xml:space="preserve"> </w:t>
      </w:r>
      <w:r w:rsidR="007148A3" w:rsidRPr="00FD1DC0">
        <w:rPr>
          <w:rFonts w:ascii="Times New Roman" w:hAnsi="Times New Roman" w:cs="Times New Roman"/>
          <w:szCs w:val="24"/>
          <w:lang w:val="es-BO"/>
        </w:rPr>
        <w:t>a</w:t>
      </w:r>
      <w:r w:rsidR="008B2490" w:rsidRPr="00FD1DC0">
        <w:rPr>
          <w:rFonts w:ascii="Times New Roman" w:hAnsi="Times New Roman" w:cs="Times New Roman"/>
          <w:szCs w:val="24"/>
          <w:lang w:val="es-BO"/>
        </w:rPr>
        <w:t xml:space="preserve"> la banca de desarrollo</w:t>
      </w:r>
      <w:r w:rsidR="00775209" w:rsidRPr="00FD1DC0">
        <w:rPr>
          <w:rFonts w:ascii="Times New Roman" w:hAnsi="Times New Roman" w:cs="Times New Roman"/>
          <w:szCs w:val="24"/>
          <w:lang w:val="es-BO"/>
        </w:rPr>
        <w:t xml:space="preserve"> y </w:t>
      </w:r>
      <w:r w:rsidR="007148A3" w:rsidRPr="00FD1DC0">
        <w:rPr>
          <w:rFonts w:ascii="Times New Roman" w:hAnsi="Times New Roman" w:cs="Times New Roman"/>
          <w:szCs w:val="24"/>
          <w:lang w:val="es-BO"/>
        </w:rPr>
        <w:t>posiblemente manipulación por parte de la banca privada y pública de l</w:t>
      </w:r>
      <w:r w:rsidR="00775209" w:rsidRPr="00FD1DC0">
        <w:rPr>
          <w:rFonts w:ascii="Times New Roman" w:hAnsi="Times New Roman" w:cs="Times New Roman"/>
          <w:szCs w:val="24"/>
          <w:lang w:val="es-BO"/>
        </w:rPr>
        <w:t>a</w:t>
      </w:r>
      <w:r w:rsidR="007148A3" w:rsidRPr="00FD1DC0">
        <w:rPr>
          <w:rFonts w:ascii="Times New Roman" w:hAnsi="Times New Roman" w:cs="Times New Roman"/>
          <w:szCs w:val="24"/>
          <w:lang w:val="es-BO"/>
        </w:rPr>
        <w:t>s</w:t>
      </w:r>
      <w:r w:rsidR="00775209" w:rsidRPr="00FD1DC0">
        <w:rPr>
          <w:rFonts w:ascii="Times New Roman" w:hAnsi="Times New Roman" w:cs="Times New Roman"/>
          <w:szCs w:val="24"/>
          <w:lang w:val="es-BO"/>
        </w:rPr>
        <w:t xml:space="preserve"> tasas de inte</w:t>
      </w:r>
      <w:r w:rsidR="007148A3" w:rsidRPr="00FD1DC0">
        <w:rPr>
          <w:rFonts w:ascii="Times New Roman" w:hAnsi="Times New Roman" w:cs="Times New Roman"/>
          <w:szCs w:val="24"/>
          <w:lang w:val="es-BO"/>
        </w:rPr>
        <w:t>rés de referencia en periodos de inestabilidad económica, con la finalidad de favorecer a los agentes económicos que podrían reactivar rápidamente la economía y generar un efecto de derrama significativo sobre variables reales clave para la economía</w:t>
      </w:r>
      <w:r w:rsidR="008B2490" w:rsidRPr="00FD1DC0">
        <w:rPr>
          <w:rFonts w:ascii="Times New Roman" w:hAnsi="Times New Roman" w:cs="Times New Roman"/>
          <w:szCs w:val="24"/>
          <w:lang w:val="es-BO"/>
        </w:rPr>
        <w:t xml:space="preserve">. </w:t>
      </w:r>
    </w:p>
    <w:p w14:paraId="58080AEB" w14:textId="7CF123E5" w:rsidR="00962267" w:rsidRPr="00FD1DC0" w:rsidRDefault="00BB1299" w:rsidP="00A736A2">
      <w:pPr>
        <w:spacing w:after="0" w:line="360" w:lineRule="auto"/>
        <w:ind w:right="539"/>
        <w:rPr>
          <w:rFonts w:ascii="Times New Roman" w:hAnsi="Times New Roman" w:cs="Times New Roman"/>
          <w:szCs w:val="24"/>
          <w:lang w:val="es-BO"/>
        </w:rPr>
      </w:pPr>
      <w:r w:rsidRPr="00FD1DC0">
        <w:rPr>
          <w:rFonts w:ascii="Times New Roman" w:hAnsi="Times New Roman" w:cs="Times New Roman"/>
          <w:szCs w:val="24"/>
          <w:lang w:val="es-BO"/>
        </w:rPr>
        <w:t>Una tercera</w:t>
      </w:r>
      <w:r w:rsidR="00E674DF" w:rsidRPr="00FD1DC0">
        <w:rPr>
          <w:rFonts w:ascii="Times New Roman" w:hAnsi="Times New Roman" w:cs="Times New Roman"/>
          <w:szCs w:val="24"/>
          <w:lang w:val="es-BO"/>
        </w:rPr>
        <w:t xml:space="preserve"> opción,</w:t>
      </w:r>
      <w:r w:rsidR="00EB4B43" w:rsidRPr="00FD1DC0">
        <w:rPr>
          <w:rFonts w:ascii="Times New Roman" w:hAnsi="Times New Roman" w:cs="Times New Roman"/>
          <w:szCs w:val="24"/>
          <w:lang w:val="es-BO"/>
        </w:rPr>
        <w:t xml:space="preserve"> está relacionado con el hecho de que los bancos centrales proveen a la economía un factor relevante a la sociedad, el dinero; la forma como lo hacen es preponderante, el dinero es una herramienta fuerte, que puede frenar o estimular la economía, </w:t>
      </w:r>
      <w:r w:rsidR="003E1E29" w:rsidRPr="00FD1DC0">
        <w:rPr>
          <w:rFonts w:ascii="Times New Roman" w:hAnsi="Times New Roman" w:cs="Times New Roman"/>
          <w:szCs w:val="24"/>
          <w:lang w:val="es-BO"/>
        </w:rPr>
        <w:t xml:space="preserve">por lo tanto </w:t>
      </w:r>
      <w:r w:rsidR="00EB4B43" w:rsidRPr="00FD1DC0">
        <w:rPr>
          <w:rFonts w:ascii="Times New Roman" w:hAnsi="Times New Roman" w:cs="Times New Roman"/>
          <w:szCs w:val="24"/>
          <w:lang w:val="es-BO"/>
        </w:rPr>
        <w:t xml:space="preserve">el dinero no es un bien que se regule automáticamente, </w:t>
      </w:r>
      <w:r w:rsidR="003E1E29" w:rsidRPr="00FD1DC0">
        <w:rPr>
          <w:rFonts w:ascii="Times New Roman" w:hAnsi="Times New Roman" w:cs="Times New Roman"/>
          <w:szCs w:val="24"/>
          <w:lang w:val="es-BO"/>
        </w:rPr>
        <w:t xml:space="preserve">sino que </w:t>
      </w:r>
      <w:r w:rsidR="00EB4B43" w:rsidRPr="00FD1DC0">
        <w:rPr>
          <w:rFonts w:ascii="Times New Roman" w:hAnsi="Times New Roman" w:cs="Times New Roman"/>
          <w:szCs w:val="24"/>
          <w:lang w:val="es-BO"/>
        </w:rPr>
        <w:t>las tasas de interés regulan la demanda de dinero; pero el banco es quien puede alterar la oferta monetaria para ello</w:t>
      </w:r>
      <w:r w:rsidR="003E1E29" w:rsidRPr="00FD1DC0">
        <w:rPr>
          <w:rFonts w:ascii="Times New Roman" w:hAnsi="Times New Roman" w:cs="Times New Roman"/>
          <w:szCs w:val="24"/>
          <w:lang w:val="es-BO"/>
        </w:rPr>
        <w:t xml:space="preserve">, </w:t>
      </w:r>
      <w:r w:rsidR="00EB4B43" w:rsidRPr="00FD1DC0">
        <w:rPr>
          <w:rFonts w:ascii="Times New Roman" w:hAnsi="Times New Roman" w:cs="Times New Roman"/>
          <w:szCs w:val="24"/>
          <w:lang w:val="es-BO"/>
        </w:rPr>
        <w:t xml:space="preserve">específicamente la autoridad monetaria debe actuar en periodos recesivos, ya que el dinero no se autorregula y se debe evitar la escasez de oferta de dinero, </w:t>
      </w:r>
      <w:r w:rsidR="003E1E29" w:rsidRPr="00FD1DC0">
        <w:rPr>
          <w:rFonts w:ascii="Times New Roman" w:hAnsi="Times New Roman" w:cs="Times New Roman"/>
          <w:szCs w:val="24"/>
          <w:lang w:val="es-BO"/>
        </w:rPr>
        <w:t xml:space="preserve">lo importante para un banco central es el grado de efectividad para difundir  señales </w:t>
      </w:r>
      <w:r w:rsidR="00EB4B43" w:rsidRPr="00FD1DC0">
        <w:rPr>
          <w:rFonts w:ascii="Times New Roman" w:hAnsi="Times New Roman" w:cs="Times New Roman"/>
          <w:szCs w:val="24"/>
          <w:lang w:val="es-BO"/>
        </w:rPr>
        <w:t>que</w:t>
      </w:r>
      <w:r w:rsidR="003E1E29" w:rsidRPr="00FD1DC0">
        <w:rPr>
          <w:rFonts w:ascii="Times New Roman" w:hAnsi="Times New Roman" w:cs="Times New Roman"/>
          <w:szCs w:val="24"/>
          <w:lang w:val="es-BO"/>
        </w:rPr>
        <w:t xml:space="preserve"> permita minimizar la </w:t>
      </w:r>
      <w:r w:rsidR="00EB4B43" w:rsidRPr="00FD1DC0">
        <w:rPr>
          <w:rFonts w:ascii="Times New Roman" w:hAnsi="Times New Roman" w:cs="Times New Roman"/>
          <w:szCs w:val="24"/>
          <w:lang w:val="es-BO"/>
        </w:rPr>
        <w:t>incertidumbre</w:t>
      </w:r>
      <w:r w:rsidR="003E1E29" w:rsidRPr="00FD1DC0">
        <w:rPr>
          <w:rFonts w:ascii="Times New Roman" w:hAnsi="Times New Roman" w:cs="Times New Roman"/>
          <w:szCs w:val="24"/>
          <w:lang w:val="es-BO"/>
        </w:rPr>
        <w:t xml:space="preserve"> en los agentes económicos básicos</w:t>
      </w:r>
      <w:r w:rsidRPr="00FD1DC0">
        <w:rPr>
          <w:rFonts w:ascii="Times New Roman" w:hAnsi="Times New Roman" w:cs="Times New Roman"/>
          <w:szCs w:val="24"/>
          <w:lang w:val="es-BO"/>
        </w:rPr>
        <w:t>.</w:t>
      </w:r>
    </w:p>
    <w:p w14:paraId="55A4C2C2" w14:textId="7C6B8BDF" w:rsidR="00BC7297" w:rsidRPr="00FD1DC0" w:rsidRDefault="00A45D3B" w:rsidP="00BC7297">
      <w:pPr>
        <w:spacing w:after="0" w:line="360" w:lineRule="auto"/>
        <w:rPr>
          <w:rFonts w:ascii="Times New Roman" w:hAnsi="Times New Roman" w:cs="Times New Roman"/>
          <w:szCs w:val="24"/>
          <w:lang w:val="es-BO"/>
        </w:rPr>
      </w:pPr>
      <w:r w:rsidRPr="00FD1DC0">
        <w:rPr>
          <w:rFonts w:ascii="Times New Roman" w:hAnsi="Times New Roman" w:cs="Times New Roman"/>
          <w:szCs w:val="24"/>
          <w:lang w:val="es-BO"/>
        </w:rPr>
        <w:t>En conclusión,</w:t>
      </w:r>
      <w:r w:rsidR="00112629" w:rsidRPr="00FD1DC0">
        <w:rPr>
          <w:rFonts w:ascii="Times New Roman" w:hAnsi="Times New Roman" w:cs="Times New Roman"/>
          <w:szCs w:val="24"/>
          <w:lang w:val="es-BO"/>
        </w:rPr>
        <w:t xml:space="preserve"> se podría seguir operando con un modelo ROI en México y Brasil, pero dicho esquema de manejo monetario pueda ser coordinado con la aplicación de una</w:t>
      </w:r>
      <w:r w:rsidRPr="00FD1DC0">
        <w:rPr>
          <w:rFonts w:ascii="Times New Roman" w:hAnsi="Times New Roman" w:cs="Times New Roman"/>
          <w:szCs w:val="24"/>
          <w:lang w:val="es-BO"/>
        </w:rPr>
        <w:t xml:space="preserve"> política de un tipo de cambio</w:t>
      </w:r>
      <w:r w:rsidR="00A8367F" w:rsidRPr="00FD1DC0">
        <w:rPr>
          <w:rFonts w:ascii="Times New Roman" w:hAnsi="Times New Roman" w:cs="Times New Roman"/>
          <w:szCs w:val="24"/>
          <w:lang w:val="es-BO"/>
        </w:rPr>
        <w:t xml:space="preserve"> real </w:t>
      </w:r>
      <w:r w:rsidRPr="00FD1DC0">
        <w:rPr>
          <w:rFonts w:ascii="Times New Roman" w:hAnsi="Times New Roman" w:cs="Times New Roman"/>
          <w:szCs w:val="24"/>
          <w:lang w:val="es-BO"/>
        </w:rPr>
        <w:t>competitivo o aplicar políticas económicas de ajuste estructural, o</w:t>
      </w:r>
      <w:r w:rsidR="00A8367F"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que se considere establecer y diseñar una política</w:t>
      </w:r>
      <w:r w:rsidR="00A8367F" w:rsidRPr="00FD1DC0">
        <w:rPr>
          <w:rFonts w:ascii="Times New Roman" w:hAnsi="Times New Roman" w:cs="Times New Roman"/>
          <w:szCs w:val="24"/>
          <w:lang w:val="es-BO"/>
        </w:rPr>
        <w:t xml:space="preserve"> </w:t>
      </w:r>
      <w:r w:rsidRPr="00FD1DC0">
        <w:rPr>
          <w:rFonts w:ascii="Times New Roman" w:hAnsi="Times New Roman" w:cs="Times New Roman"/>
          <w:szCs w:val="24"/>
          <w:lang w:val="es-BO"/>
        </w:rPr>
        <w:t>de objetivos rea</w:t>
      </w:r>
      <w:r w:rsidR="00112629" w:rsidRPr="00FD1DC0">
        <w:rPr>
          <w:rFonts w:ascii="Times New Roman" w:hAnsi="Times New Roman" w:cs="Times New Roman"/>
          <w:szCs w:val="24"/>
          <w:lang w:val="es-BO"/>
        </w:rPr>
        <w:t>les para ambos bancos centrales. Por tanto,</w:t>
      </w:r>
      <w:r w:rsidRPr="00FD1DC0">
        <w:rPr>
          <w:rFonts w:ascii="Times New Roman" w:hAnsi="Times New Roman" w:cs="Times New Roman"/>
          <w:szCs w:val="24"/>
          <w:lang w:val="es-BO"/>
        </w:rPr>
        <w:t xml:space="preserve"> es importante q</w:t>
      </w:r>
      <w:r w:rsidR="00A8367F" w:rsidRPr="00FD1DC0">
        <w:rPr>
          <w:rFonts w:ascii="Times New Roman" w:hAnsi="Times New Roman" w:cs="Times New Roman"/>
          <w:szCs w:val="24"/>
          <w:lang w:val="es-BO"/>
        </w:rPr>
        <w:t xml:space="preserve">ue </w:t>
      </w:r>
      <w:r w:rsidRPr="00FD1DC0">
        <w:rPr>
          <w:rFonts w:ascii="Times New Roman" w:hAnsi="Times New Roman" w:cs="Times New Roman"/>
          <w:szCs w:val="24"/>
          <w:lang w:val="es-BO"/>
        </w:rPr>
        <w:t>la autoridad monetaria opere con nuevos instrumentos de política monetaria</w:t>
      </w:r>
      <w:r w:rsidR="00BC7297" w:rsidRPr="00FD1DC0">
        <w:rPr>
          <w:rFonts w:ascii="Times New Roman" w:hAnsi="Times New Roman" w:cs="Times New Roman"/>
          <w:szCs w:val="24"/>
          <w:lang w:val="es-BO"/>
        </w:rPr>
        <w:t xml:space="preserve"> algunos de los cuales se consideran tabú en el esquema ortodoxo del ROI, y además la autoridad monetaria coordine sus intereses de política con los </w:t>
      </w:r>
      <w:r w:rsidR="00C51ABA" w:rsidRPr="00FD1DC0">
        <w:rPr>
          <w:rFonts w:ascii="Times New Roman" w:hAnsi="Times New Roman" w:cs="Times New Roman"/>
          <w:szCs w:val="24"/>
          <w:lang w:val="es-BO"/>
        </w:rPr>
        <w:t>de otros agentes económicos que son relevantes en ambos países</w:t>
      </w:r>
      <w:r w:rsidR="00BC7297" w:rsidRPr="00FD1DC0">
        <w:rPr>
          <w:rFonts w:ascii="Times New Roman" w:hAnsi="Times New Roman" w:cs="Times New Roman"/>
          <w:szCs w:val="24"/>
          <w:lang w:val="es-BO"/>
        </w:rPr>
        <w:t>.</w:t>
      </w:r>
    </w:p>
    <w:p w14:paraId="7AC813F8" w14:textId="3EB746FA" w:rsidR="002542A6" w:rsidRPr="00FD1DC0" w:rsidRDefault="002542A6" w:rsidP="00376BC6">
      <w:pPr>
        <w:spacing w:after="0" w:line="259" w:lineRule="auto"/>
        <w:ind w:left="0" w:right="0" w:firstLine="0"/>
        <w:jc w:val="left"/>
        <w:rPr>
          <w:b/>
          <w:sz w:val="22"/>
          <w:lang w:val="es-BO"/>
        </w:rPr>
      </w:pPr>
    </w:p>
    <w:p w14:paraId="31D266CE" w14:textId="77777777" w:rsidR="000721CF" w:rsidRDefault="000721CF" w:rsidP="00376BC6">
      <w:pPr>
        <w:spacing w:after="0" w:line="259" w:lineRule="auto"/>
        <w:ind w:left="0" w:right="0" w:firstLine="0"/>
        <w:jc w:val="left"/>
        <w:rPr>
          <w:b/>
          <w:sz w:val="22"/>
          <w:lang w:val="es-BO"/>
        </w:rPr>
      </w:pPr>
    </w:p>
    <w:p w14:paraId="6AFD3455" w14:textId="77777777" w:rsidR="000721CF" w:rsidRDefault="000721CF" w:rsidP="00376BC6">
      <w:pPr>
        <w:spacing w:after="0" w:line="259" w:lineRule="auto"/>
        <w:ind w:left="0" w:right="0" w:firstLine="0"/>
        <w:jc w:val="left"/>
        <w:rPr>
          <w:b/>
          <w:sz w:val="22"/>
          <w:lang w:val="es-BO"/>
        </w:rPr>
      </w:pPr>
    </w:p>
    <w:p w14:paraId="4324CC7D" w14:textId="54C6D599" w:rsidR="00376BC6" w:rsidRPr="00FD1DC0" w:rsidRDefault="00376BC6" w:rsidP="00376BC6">
      <w:pPr>
        <w:spacing w:after="0" w:line="259" w:lineRule="auto"/>
        <w:ind w:left="0" w:right="0" w:firstLine="0"/>
        <w:jc w:val="left"/>
        <w:rPr>
          <w:lang w:val="es-BO"/>
        </w:rPr>
      </w:pPr>
      <w:r w:rsidRPr="00FD1DC0">
        <w:rPr>
          <w:b/>
          <w:sz w:val="22"/>
          <w:lang w:val="es-BO"/>
        </w:rPr>
        <w:t>BIBLIOGRAFÍA</w:t>
      </w:r>
      <w:r w:rsidR="002B5B39" w:rsidRPr="00FD1DC0">
        <w:rPr>
          <w:lang w:val="es-BO"/>
        </w:rPr>
        <w:t xml:space="preserve">. </w:t>
      </w:r>
    </w:p>
    <w:p w14:paraId="051F1183" w14:textId="77777777" w:rsidR="00736142" w:rsidRPr="00FD1DC0" w:rsidRDefault="00736142" w:rsidP="00376BC6">
      <w:pPr>
        <w:spacing w:line="276" w:lineRule="auto"/>
        <w:ind w:left="45" w:right="535"/>
        <w:rPr>
          <w:sz w:val="22"/>
          <w:lang w:val="es-BO"/>
        </w:rPr>
      </w:pPr>
    </w:p>
    <w:p w14:paraId="6CB91817" w14:textId="6B659EA7" w:rsidR="00CF2AFB" w:rsidRPr="005D1845" w:rsidRDefault="00CF2AFB" w:rsidP="00096C84">
      <w:pPr>
        <w:spacing w:after="0" w:line="240" w:lineRule="auto"/>
        <w:ind w:left="45" w:right="535"/>
        <w:rPr>
          <w:sz w:val="22"/>
        </w:rPr>
      </w:pPr>
      <w:r w:rsidRPr="005D1845">
        <w:rPr>
          <w:sz w:val="22"/>
          <w:lang w:val="es-BO"/>
        </w:rPr>
        <w:t xml:space="preserve">Aizenman, J., y Lee, J. (2005). </w:t>
      </w:r>
      <w:r w:rsidRPr="005D1845">
        <w:rPr>
          <w:sz w:val="22"/>
        </w:rPr>
        <w:t>“International Reserves Precautionary versus Mercantilist Views, Theory and Evidence”. NBER, Working Paper No. 11366.</w:t>
      </w:r>
    </w:p>
    <w:p w14:paraId="27F0A8E5" w14:textId="77777777" w:rsidR="00CF2AFB" w:rsidRPr="005D1845" w:rsidRDefault="00CF2AFB" w:rsidP="00096C84">
      <w:pPr>
        <w:spacing w:after="0" w:line="240" w:lineRule="auto"/>
        <w:ind w:left="45" w:right="535"/>
        <w:rPr>
          <w:sz w:val="22"/>
        </w:rPr>
      </w:pPr>
    </w:p>
    <w:p w14:paraId="3EB93189" w14:textId="7BAE672D" w:rsidR="00096C84" w:rsidRPr="005D1845" w:rsidRDefault="00736142" w:rsidP="00096C84">
      <w:pPr>
        <w:spacing w:after="0" w:line="240" w:lineRule="auto"/>
        <w:ind w:left="45" w:right="535"/>
        <w:rPr>
          <w:sz w:val="22"/>
        </w:rPr>
      </w:pPr>
      <w:r w:rsidRPr="005D1845">
        <w:rPr>
          <w:sz w:val="22"/>
        </w:rPr>
        <w:t xml:space="preserve">Aizenman, J. y Glick </w:t>
      </w:r>
      <w:r w:rsidR="00096C84" w:rsidRPr="005D1845">
        <w:rPr>
          <w:sz w:val="22"/>
        </w:rPr>
        <w:t xml:space="preserve">Reuven (2009). </w:t>
      </w:r>
      <w:r w:rsidRPr="005D1845">
        <w:rPr>
          <w:sz w:val="22"/>
        </w:rPr>
        <w:t xml:space="preserve">“Sterilization </w:t>
      </w:r>
      <w:r w:rsidR="00096C84" w:rsidRPr="005D1845">
        <w:rPr>
          <w:sz w:val="22"/>
        </w:rPr>
        <w:t>Monetary Policy and G</w:t>
      </w:r>
      <w:r w:rsidRPr="005D1845">
        <w:rPr>
          <w:sz w:val="22"/>
        </w:rPr>
        <w:t xml:space="preserve">lobal </w:t>
      </w:r>
      <w:r w:rsidR="00096C84" w:rsidRPr="005D1845">
        <w:rPr>
          <w:sz w:val="22"/>
        </w:rPr>
        <w:t>F</w:t>
      </w:r>
      <w:r w:rsidRPr="005D1845">
        <w:rPr>
          <w:sz w:val="22"/>
        </w:rPr>
        <w:t>in</w:t>
      </w:r>
      <w:r w:rsidR="00096C84" w:rsidRPr="005D1845">
        <w:rPr>
          <w:sz w:val="22"/>
        </w:rPr>
        <w:t>ancial I</w:t>
      </w:r>
      <w:r w:rsidRPr="005D1845">
        <w:rPr>
          <w:sz w:val="22"/>
        </w:rPr>
        <w:t xml:space="preserve">ntegration”, </w:t>
      </w:r>
      <w:r w:rsidRPr="005D1845">
        <w:rPr>
          <w:i/>
          <w:sz w:val="22"/>
        </w:rPr>
        <w:t>Review of International</w:t>
      </w:r>
      <w:r w:rsidR="00096C84" w:rsidRPr="005D1845">
        <w:rPr>
          <w:i/>
          <w:sz w:val="22"/>
        </w:rPr>
        <w:t xml:space="preserve"> E</w:t>
      </w:r>
      <w:r w:rsidRPr="005D1845">
        <w:rPr>
          <w:i/>
          <w:sz w:val="22"/>
        </w:rPr>
        <w:t>conomic</w:t>
      </w:r>
      <w:r w:rsidRPr="005D1845">
        <w:rPr>
          <w:sz w:val="22"/>
        </w:rPr>
        <w:t>, Vol. 17, No. 4, pp. 777-801.</w:t>
      </w:r>
    </w:p>
    <w:p w14:paraId="3A84351E" w14:textId="77777777" w:rsidR="00096C84" w:rsidRPr="005D1845" w:rsidRDefault="00096C84" w:rsidP="00096C84">
      <w:pPr>
        <w:spacing w:after="0" w:line="240" w:lineRule="auto"/>
        <w:ind w:left="45" w:right="535"/>
        <w:rPr>
          <w:sz w:val="22"/>
        </w:rPr>
      </w:pPr>
    </w:p>
    <w:p w14:paraId="4E2F6341" w14:textId="5D0ED62C" w:rsidR="00736142" w:rsidRPr="005D1845" w:rsidRDefault="00096C84" w:rsidP="00096C84">
      <w:pPr>
        <w:spacing w:after="0" w:line="240" w:lineRule="auto"/>
        <w:ind w:left="45" w:right="530"/>
        <w:rPr>
          <w:sz w:val="22"/>
        </w:rPr>
      </w:pPr>
      <w:r w:rsidRPr="005D1845">
        <w:rPr>
          <w:sz w:val="22"/>
        </w:rPr>
        <w:t>Aizenman, J., M. Hutchison y I. Noy (2008). “Inflation Targeting and Real Exchange Rates in Emerging Markets”</w:t>
      </w:r>
      <w:r w:rsidRPr="005D1845">
        <w:rPr>
          <w:i/>
          <w:sz w:val="22"/>
        </w:rPr>
        <w:t xml:space="preserve">, </w:t>
      </w:r>
      <w:r w:rsidRPr="005D1845">
        <w:rPr>
          <w:sz w:val="22"/>
        </w:rPr>
        <w:t xml:space="preserve">NBER Working Paper, pp.14561. </w:t>
      </w:r>
    </w:p>
    <w:p w14:paraId="4E15011E" w14:textId="77777777" w:rsidR="0070015B" w:rsidRPr="005D1845" w:rsidRDefault="0070015B" w:rsidP="00096C84">
      <w:pPr>
        <w:spacing w:after="0" w:line="240" w:lineRule="auto"/>
        <w:ind w:left="45" w:right="535"/>
        <w:rPr>
          <w:sz w:val="22"/>
        </w:rPr>
      </w:pPr>
    </w:p>
    <w:p w14:paraId="75C5ACC0" w14:textId="735D1084" w:rsidR="00376BC6" w:rsidRPr="005D1845" w:rsidRDefault="00376BC6" w:rsidP="00096C84">
      <w:pPr>
        <w:spacing w:after="0" w:line="240" w:lineRule="auto"/>
        <w:ind w:left="45" w:right="535"/>
        <w:rPr>
          <w:sz w:val="22"/>
        </w:rPr>
      </w:pPr>
      <w:r w:rsidRPr="005D1845">
        <w:rPr>
          <w:sz w:val="22"/>
        </w:rPr>
        <w:t>A</w:t>
      </w:r>
      <w:r w:rsidR="006426FC" w:rsidRPr="005D1845">
        <w:rPr>
          <w:sz w:val="22"/>
        </w:rPr>
        <w:t>kaike</w:t>
      </w:r>
      <w:r w:rsidR="007877BC" w:rsidRPr="005D1845">
        <w:rPr>
          <w:sz w:val="22"/>
        </w:rPr>
        <w:t>, H. (1974). “A New Look at the Statistical M</w:t>
      </w:r>
      <w:r w:rsidRPr="005D1845">
        <w:rPr>
          <w:sz w:val="22"/>
        </w:rPr>
        <w:t>o</w:t>
      </w:r>
      <w:r w:rsidR="007877BC" w:rsidRPr="005D1845">
        <w:rPr>
          <w:sz w:val="22"/>
        </w:rPr>
        <w:t>del I</w:t>
      </w:r>
      <w:r w:rsidR="00C33A70" w:rsidRPr="005D1845">
        <w:rPr>
          <w:sz w:val="22"/>
        </w:rPr>
        <w:t xml:space="preserve">dentification”. </w:t>
      </w:r>
      <w:r w:rsidR="0070015B" w:rsidRPr="005D1845">
        <w:rPr>
          <w:i/>
          <w:iCs/>
          <w:sz w:val="22"/>
        </w:rPr>
        <w:t>IEEE T</w:t>
      </w:r>
      <w:r w:rsidRPr="005D1845">
        <w:rPr>
          <w:i/>
          <w:iCs/>
          <w:sz w:val="22"/>
        </w:rPr>
        <w:t>ransactions on Automatic Control</w:t>
      </w:r>
      <w:r w:rsidR="002B5B39" w:rsidRPr="005D1845">
        <w:rPr>
          <w:sz w:val="22"/>
        </w:rPr>
        <w:t>,</w:t>
      </w:r>
      <w:r w:rsidRPr="005D1845">
        <w:rPr>
          <w:sz w:val="22"/>
        </w:rPr>
        <w:t xml:space="preserve"> </w:t>
      </w:r>
      <w:r w:rsidR="0070015B" w:rsidRPr="005D1845">
        <w:rPr>
          <w:sz w:val="22"/>
        </w:rPr>
        <w:t xml:space="preserve">nro. </w:t>
      </w:r>
      <w:r w:rsidRPr="005D1845">
        <w:rPr>
          <w:sz w:val="22"/>
        </w:rPr>
        <w:t xml:space="preserve">19, </w:t>
      </w:r>
      <w:r w:rsidR="002B5B39" w:rsidRPr="005D1845">
        <w:rPr>
          <w:sz w:val="22"/>
        </w:rPr>
        <w:t xml:space="preserve">pp. </w:t>
      </w:r>
      <w:r w:rsidRPr="005D1845">
        <w:rPr>
          <w:sz w:val="22"/>
        </w:rPr>
        <w:t xml:space="preserve">716-723. </w:t>
      </w:r>
    </w:p>
    <w:p w14:paraId="73C0A96F" w14:textId="77777777" w:rsidR="00096C84" w:rsidRPr="005D1845" w:rsidRDefault="00096C84" w:rsidP="00096C84">
      <w:pPr>
        <w:spacing w:after="0" w:line="240" w:lineRule="auto"/>
        <w:ind w:left="45" w:right="530"/>
        <w:rPr>
          <w:sz w:val="22"/>
        </w:rPr>
      </w:pPr>
    </w:p>
    <w:p w14:paraId="5BDB1D36" w14:textId="4211B1BD" w:rsidR="00096C84" w:rsidRPr="005D1845" w:rsidRDefault="00096C84" w:rsidP="00096C84">
      <w:pPr>
        <w:spacing w:after="0" w:line="240" w:lineRule="auto"/>
        <w:ind w:left="50" w:right="530" w:firstLine="0"/>
        <w:rPr>
          <w:sz w:val="22"/>
        </w:rPr>
      </w:pPr>
      <w:r w:rsidRPr="005D1845">
        <w:rPr>
          <w:sz w:val="22"/>
        </w:rPr>
        <w:t xml:space="preserve">Allsopp, C. y Vines, D. (2000). “The Assessment: Macroeconomic Policy” en </w:t>
      </w:r>
      <w:r w:rsidRPr="005D1845">
        <w:rPr>
          <w:i/>
          <w:sz w:val="22"/>
        </w:rPr>
        <w:t xml:space="preserve">Oxford Review of Economic Policy </w:t>
      </w:r>
      <w:r w:rsidR="001A5A44" w:rsidRPr="005D1845">
        <w:rPr>
          <w:sz w:val="22"/>
        </w:rPr>
        <w:t>(Oxford) Nro.</w:t>
      </w:r>
      <w:r w:rsidRPr="005D1845">
        <w:rPr>
          <w:sz w:val="22"/>
        </w:rPr>
        <w:t xml:space="preserve"> 16. </w:t>
      </w:r>
    </w:p>
    <w:p w14:paraId="67D220E5" w14:textId="77777777" w:rsidR="00096C84" w:rsidRPr="005D1845" w:rsidRDefault="00096C84" w:rsidP="00096C84">
      <w:pPr>
        <w:spacing w:after="0" w:line="240" w:lineRule="auto"/>
        <w:ind w:left="50" w:right="530" w:firstLine="0"/>
        <w:rPr>
          <w:sz w:val="22"/>
        </w:rPr>
      </w:pPr>
    </w:p>
    <w:p w14:paraId="0843FE51" w14:textId="6319B154" w:rsidR="00096C84" w:rsidRPr="005D1845" w:rsidRDefault="00096C84" w:rsidP="00096C84">
      <w:pPr>
        <w:spacing w:after="0" w:line="240" w:lineRule="auto"/>
        <w:ind w:left="50" w:right="530" w:firstLine="0"/>
        <w:rPr>
          <w:sz w:val="22"/>
          <w:lang w:val="es-BO"/>
        </w:rPr>
      </w:pPr>
      <w:r w:rsidRPr="005D1845">
        <w:rPr>
          <w:sz w:val="22"/>
          <w:lang w:val="es-BO"/>
        </w:rPr>
        <w:t>Ampudia, N.C. (2007).</w:t>
      </w:r>
      <w:r w:rsidR="0070015B" w:rsidRPr="005D1845">
        <w:rPr>
          <w:sz w:val="22"/>
          <w:lang w:val="es-BO"/>
        </w:rPr>
        <w:t xml:space="preserve"> </w:t>
      </w:r>
      <w:r w:rsidRPr="005D1845">
        <w:rPr>
          <w:sz w:val="22"/>
          <w:lang w:val="es-BO"/>
        </w:rPr>
        <w:t xml:space="preserve">“Política Monetaria, Restricción Crediticia y Empleo”, en G. Mántey  y  N.  Levy (coords.), </w:t>
      </w:r>
      <w:r w:rsidR="00532E25" w:rsidRPr="005D1845">
        <w:rPr>
          <w:sz w:val="22"/>
          <w:lang w:val="es-BO"/>
        </w:rPr>
        <w:t xml:space="preserve">Políticas </w:t>
      </w:r>
      <w:r w:rsidR="00097DE6" w:rsidRPr="005D1845">
        <w:rPr>
          <w:sz w:val="22"/>
          <w:lang w:val="es-BO"/>
        </w:rPr>
        <w:t>macroeconómicas para países en</w:t>
      </w:r>
      <w:r w:rsidRPr="005D1845">
        <w:rPr>
          <w:sz w:val="22"/>
          <w:lang w:val="es-BO"/>
        </w:rPr>
        <w:t xml:space="preserve"> </w:t>
      </w:r>
      <w:r w:rsidR="00097DE6" w:rsidRPr="005D1845">
        <w:rPr>
          <w:sz w:val="22"/>
          <w:lang w:val="es-BO"/>
        </w:rPr>
        <w:t>desarrollo, México, Universidad Nacional Autónoma de México (</w:t>
      </w:r>
      <w:r w:rsidRPr="005D1845">
        <w:rPr>
          <w:sz w:val="22"/>
          <w:lang w:val="es-BO"/>
        </w:rPr>
        <w:t>UNAM)-Miguel Ángel Porrúa.</w:t>
      </w:r>
    </w:p>
    <w:p w14:paraId="1D85339C" w14:textId="0ECAE6F8" w:rsidR="0023233E" w:rsidRPr="005D1845" w:rsidRDefault="0023233E" w:rsidP="00096C84">
      <w:pPr>
        <w:spacing w:after="0" w:line="240" w:lineRule="auto"/>
        <w:ind w:left="50" w:right="530" w:firstLine="0"/>
        <w:rPr>
          <w:sz w:val="22"/>
          <w:lang w:val="es-BO"/>
        </w:rPr>
      </w:pPr>
    </w:p>
    <w:p w14:paraId="190B76F6" w14:textId="1FE9369D" w:rsidR="0023233E" w:rsidRPr="005D1845" w:rsidRDefault="00097DE6" w:rsidP="00097DE6">
      <w:pPr>
        <w:spacing w:after="0" w:line="240" w:lineRule="auto"/>
        <w:ind w:left="50" w:right="530" w:firstLine="0"/>
        <w:rPr>
          <w:sz w:val="22"/>
        </w:rPr>
      </w:pPr>
      <w:r w:rsidRPr="005D1845">
        <w:rPr>
          <w:sz w:val="22"/>
        </w:rPr>
        <w:t xml:space="preserve">Amato J. D. (2005). “The Role of the Natural Rate of Interest in Monetary Policy”. </w:t>
      </w:r>
      <w:r w:rsidR="0023233E" w:rsidRPr="005D1845">
        <w:rPr>
          <w:sz w:val="22"/>
        </w:rPr>
        <w:t>B</w:t>
      </w:r>
      <w:r w:rsidRPr="005D1845">
        <w:rPr>
          <w:sz w:val="22"/>
        </w:rPr>
        <w:t>IS Working Papers No. 171</w:t>
      </w:r>
      <w:r w:rsidR="0023233E" w:rsidRPr="005D1845">
        <w:rPr>
          <w:sz w:val="22"/>
        </w:rPr>
        <w:t>.</w:t>
      </w:r>
    </w:p>
    <w:p w14:paraId="1116F64D" w14:textId="39CCEF0D" w:rsidR="00096C84" w:rsidRPr="005D1845" w:rsidRDefault="00096C84" w:rsidP="00096C84">
      <w:pPr>
        <w:spacing w:after="0" w:line="240" w:lineRule="auto"/>
        <w:ind w:left="45" w:right="530"/>
        <w:rPr>
          <w:sz w:val="22"/>
        </w:rPr>
      </w:pPr>
      <w:r w:rsidRPr="005D1845">
        <w:rPr>
          <w:sz w:val="22"/>
        </w:rPr>
        <w:t xml:space="preserve"> </w:t>
      </w:r>
    </w:p>
    <w:p w14:paraId="3B813DAF" w14:textId="0568E8CB" w:rsidR="00376BC6" w:rsidRPr="005D1845" w:rsidRDefault="00096C84" w:rsidP="00096C84">
      <w:pPr>
        <w:spacing w:after="0" w:line="240" w:lineRule="auto"/>
        <w:ind w:left="45" w:right="530"/>
        <w:rPr>
          <w:sz w:val="22"/>
        </w:rPr>
      </w:pPr>
      <w:r w:rsidRPr="005D1845">
        <w:rPr>
          <w:sz w:val="22"/>
        </w:rPr>
        <w:t>Amisano, Giannini</w:t>
      </w:r>
      <w:r w:rsidR="00F826D6" w:rsidRPr="005D1845">
        <w:rPr>
          <w:sz w:val="22"/>
        </w:rPr>
        <w:t xml:space="preserve"> (1997).</w:t>
      </w:r>
      <w:r w:rsidRPr="005D1845">
        <w:rPr>
          <w:sz w:val="22"/>
        </w:rPr>
        <w:t xml:space="preserve"> “Topics in Structural Var Econometrics”; Second Edition; Springer Verlag, New York. </w:t>
      </w:r>
    </w:p>
    <w:p w14:paraId="4C11AEE1" w14:textId="77777777" w:rsidR="00096C84" w:rsidRPr="005D1845" w:rsidRDefault="00096C84" w:rsidP="00096C84">
      <w:pPr>
        <w:spacing w:after="0" w:line="240" w:lineRule="auto"/>
        <w:ind w:left="45" w:right="530"/>
        <w:rPr>
          <w:sz w:val="22"/>
        </w:rPr>
      </w:pPr>
    </w:p>
    <w:p w14:paraId="682826D5" w14:textId="2406B46F" w:rsidR="00376BC6" w:rsidRPr="005D1845" w:rsidRDefault="00376BC6" w:rsidP="00096C84">
      <w:pPr>
        <w:spacing w:after="0" w:line="240" w:lineRule="auto"/>
        <w:ind w:left="45" w:right="530"/>
        <w:rPr>
          <w:sz w:val="22"/>
        </w:rPr>
      </w:pPr>
      <w:r w:rsidRPr="005D1845">
        <w:rPr>
          <w:sz w:val="22"/>
        </w:rPr>
        <w:t>A</w:t>
      </w:r>
      <w:r w:rsidR="006426FC" w:rsidRPr="005D1845">
        <w:rPr>
          <w:sz w:val="22"/>
        </w:rPr>
        <w:t>ndersen</w:t>
      </w:r>
      <w:r w:rsidRPr="005D1845">
        <w:rPr>
          <w:sz w:val="22"/>
        </w:rPr>
        <w:t>, T.G</w:t>
      </w:r>
      <w:r w:rsidR="002B5B39" w:rsidRPr="005D1845">
        <w:rPr>
          <w:sz w:val="22"/>
        </w:rPr>
        <w:t>. y</w:t>
      </w:r>
      <w:r w:rsidRPr="005D1845">
        <w:rPr>
          <w:sz w:val="22"/>
        </w:rPr>
        <w:t xml:space="preserve"> </w:t>
      </w:r>
      <w:r w:rsidR="006426FC" w:rsidRPr="005D1845">
        <w:rPr>
          <w:sz w:val="22"/>
        </w:rPr>
        <w:t>Bollerslev</w:t>
      </w:r>
      <w:r w:rsidR="00F826D6" w:rsidRPr="005D1845">
        <w:rPr>
          <w:sz w:val="22"/>
        </w:rPr>
        <w:t>, T. (1998).</w:t>
      </w:r>
      <w:r w:rsidRPr="005D1845">
        <w:rPr>
          <w:sz w:val="22"/>
        </w:rPr>
        <w:t xml:space="preserve"> “DM-Dollar Volatility: Intraday Activity Patterns,</w:t>
      </w:r>
      <w:r w:rsidR="002B5B39" w:rsidRPr="005D1845">
        <w:rPr>
          <w:sz w:val="22"/>
        </w:rPr>
        <w:t xml:space="preserve"> </w:t>
      </w:r>
      <w:r w:rsidRPr="005D1845">
        <w:rPr>
          <w:sz w:val="22"/>
        </w:rPr>
        <w:t>Macroeconomic Announcement</w:t>
      </w:r>
      <w:r w:rsidR="00C33A70" w:rsidRPr="005D1845">
        <w:rPr>
          <w:sz w:val="22"/>
        </w:rPr>
        <w:t xml:space="preserve">s and Longer-Run Dependencies”. </w:t>
      </w:r>
      <w:r w:rsidRPr="005D1845">
        <w:rPr>
          <w:i/>
          <w:sz w:val="22"/>
        </w:rPr>
        <w:t>Journal of Finance</w:t>
      </w:r>
      <w:r w:rsidRPr="005D1845">
        <w:rPr>
          <w:sz w:val="22"/>
        </w:rPr>
        <w:t xml:space="preserve">, 53, </w:t>
      </w:r>
      <w:r w:rsidR="002B5B39" w:rsidRPr="005D1845">
        <w:rPr>
          <w:sz w:val="22"/>
        </w:rPr>
        <w:t xml:space="preserve">pp. </w:t>
      </w:r>
      <w:r w:rsidRPr="005D1845">
        <w:rPr>
          <w:sz w:val="22"/>
        </w:rPr>
        <w:t xml:space="preserve">2190-265. </w:t>
      </w:r>
    </w:p>
    <w:p w14:paraId="6766A56C" w14:textId="135D44EF" w:rsidR="00376BC6" w:rsidRPr="005D1845" w:rsidRDefault="00376BC6" w:rsidP="00096C84">
      <w:pPr>
        <w:spacing w:after="0" w:line="240" w:lineRule="auto"/>
        <w:ind w:left="50" w:right="0" w:firstLine="0"/>
        <w:jc w:val="left"/>
        <w:rPr>
          <w:sz w:val="22"/>
        </w:rPr>
      </w:pPr>
    </w:p>
    <w:p w14:paraId="7965E7AE" w14:textId="22C3F334" w:rsidR="00096C84" w:rsidRPr="005D1845" w:rsidRDefault="00096C84" w:rsidP="00096C84">
      <w:pPr>
        <w:spacing w:after="0" w:line="240" w:lineRule="auto"/>
        <w:ind w:left="45" w:right="530"/>
        <w:rPr>
          <w:sz w:val="22"/>
        </w:rPr>
      </w:pPr>
      <w:r w:rsidRPr="005D1845">
        <w:rPr>
          <w:sz w:val="22"/>
        </w:rPr>
        <w:t xml:space="preserve">Arestis, P.; F. Ferrari-Filho y L.F. Paula </w:t>
      </w:r>
      <w:r w:rsidR="00F826D6" w:rsidRPr="005D1845">
        <w:rPr>
          <w:sz w:val="22"/>
        </w:rPr>
        <w:t>(2007).</w:t>
      </w:r>
      <w:r w:rsidRPr="005D1845">
        <w:rPr>
          <w:sz w:val="22"/>
        </w:rPr>
        <w:t xml:space="preserve"> “Inflation Targeting in Emerging Countries: The Case of Brazil”, en P. Arestis y A. Saad-Filho (ed.), </w:t>
      </w:r>
      <w:r w:rsidRPr="005D1845">
        <w:rPr>
          <w:i/>
          <w:sz w:val="22"/>
        </w:rPr>
        <w:t>Political Economy of Brazil:</w:t>
      </w:r>
      <w:r w:rsidRPr="005D1845">
        <w:rPr>
          <w:sz w:val="22"/>
        </w:rPr>
        <w:t xml:space="preserve"> </w:t>
      </w:r>
      <w:r w:rsidRPr="005D1845">
        <w:rPr>
          <w:i/>
          <w:sz w:val="22"/>
        </w:rPr>
        <w:t>Recent Economic Performance</w:t>
      </w:r>
      <w:r w:rsidRPr="005D1845">
        <w:rPr>
          <w:sz w:val="22"/>
        </w:rPr>
        <w:t xml:space="preserve">. Basingstoke, Palgrave Macmillan, pp. 116-140. </w:t>
      </w:r>
    </w:p>
    <w:p w14:paraId="5575F4BF" w14:textId="77777777" w:rsidR="00096C84" w:rsidRPr="005D1845" w:rsidRDefault="00096C84" w:rsidP="00096C84">
      <w:pPr>
        <w:spacing w:after="0" w:line="240" w:lineRule="auto"/>
        <w:ind w:left="0" w:right="530" w:firstLine="0"/>
        <w:rPr>
          <w:sz w:val="22"/>
        </w:rPr>
      </w:pPr>
    </w:p>
    <w:p w14:paraId="293B2B04" w14:textId="47F689F4" w:rsidR="00096C84" w:rsidRPr="005D1845" w:rsidRDefault="00096C84" w:rsidP="00096C84">
      <w:pPr>
        <w:spacing w:after="0" w:line="240" w:lineRule="auto"/>
        <w:ind w:left="45" w:right="530"/>
        <w:rPr>
          <w:sz w:val="22"/>
        </w:rPr>
      </w:pPr>
      <w:r w:rsidRPr="005D1845">
        <w:rPr>
          <w:sz w:val="22"/>
        </w:rPr>
        <w:t>Arestis, P. y M. Sawyer</w:t>
      </w:r>
      <w:r w:rsidR="00F826D6" w:rsidRPr="005D1845">
        <w:rPr>
          <w:sz w:val="22"/>
        </w:rPr>
        <w:t xml:space="preserve"> (2003).</w:t>
      </w:r>
      <w:r w:rsidRPr="005D1845">
        <w:rPr>
          <w:sz w:val="22"/>
        </w:rPr>
        <w:t xml:space="preserve"> “Inflation Targeting: A Critical Appraisal”, Levy Economic Institute Working Paper, pp. 388. </w:t>
      </w:r>
    </w:p>
    <w:p w14:paraId="47FFB07E" w14:textId="77777777" w:rsidR="00096C84" w:rsidRPr="005D1845" w:rsidRDefault="00096C84" w:rsidP="00096C84">
      <w:pPr>
        <w:spacing w:after="0" w:line="240" w:lineRule="auto"/>
        <w:ind w:left="45" w:right="530"/>
        <w:rPr>
          <w:sz w:val="22"/>
        </w:rPr>
      </w:pPr>
    </w:p>
    <w:p w14:paraId="5DEDF3F2" w14:textId="69882590" w:rsidR="00096C84" w:rsidRPr="005D1845" w:rsidRDefault="00096C84" w:rsidP="00096C84">
      <w:pPr>
        <w:spacing w:after="0" w:line="240" w:lineRule="auto"/>
        <w:ind w:left="45" w:right="530"/>
        <w:rPr>
          <w:sz w:val="22"/>
        </w:rPr>
      </w:pPr>
      <w:r w:rsidRPr="005D1845">
        <w:rPr>
          <w:sz w:val="22"/>
          <w:lang w:val="es-BO"/>
        </w:rPr>
        <w:t>Arestis, P. y A. Angeriz (2009)</w:t>
      </w:r>
      <w:r w:rsidR="00F826D6" w:rsidRPr="005D1845">
        <w:rPr>
          <w:sz w:val="22"/>
          <w:lang w:val="es-BO"/>
        </w:rPr>
        <w:t>.</w:t>
      </w:r>
      <w:r w:rsidRPr="005D1845">
        <w:rPr>
          <w:sz w:val="22"/>
          <w:lang w:val="es-BO"/>
        </w:rPr>
        <w:t xml:space="preserve"> “Objetivos de Inflación: Evaluación de la Evidencia”, Investigación Económica, vol. </w:t>
      </w:r>
      <w:r w:rsidRPr="005D1845">
        <w:rPr>
          <w:sz w:val="22"/>
        </w:rPr>
        <w:t>LXVIII, número especial 2009, pp. 21-46.</w:t>
      </w:r>
    </w:p>
    <w:p w14:paraId="14535F20" w14:textId="77777777" w:rsidR="00096C84" w:rsidRPr="005D1845" w:rsidRDefault="00096C84" w:rsidP="00096C84">
      <w:pPr>
        <w:spacing w:after="0" w:line="240" w:lineRule="auto"/>
        <w:ind w:left="45" w:right="530"/>
        <w:rPr>
          <w:sz w:val="22"/>
        </w:rPr>
      </w:pPr>
    </w:p>
    <w:p w14:paraId="5DFA7615" w14:textId="73E06F88" w:rsidR="00376BC6" w:rsidRPr="005D1845" w:rsidRDefault="00096C84" w:rsidP="00096C84">
      <w:pPr>
        <w:spacing w:after="0" w:line="240" w:lineRule="auto"/>
        <w:ind w:left="45" w:right="530"/>
        <w:rPr>
          <w:sz w:val="22"/>
          <w:lang w:val="es-BO"/>
        </w:rPr>
      </w:pPr>
      <w:r w:rsidRPr="005D1845">
        <w:rPr>
          <w:sz w:val="22"/>
        </w:rPr>
        <w:t>Arestis,  P.  (2009)</w:t>
      </w:r>
      <w:r w:rsidR="00F826D6" w:rsidRPr="005D1845">
        <w:rPr>
          <w:sz w:val="22"/>
        </w:rPr>
        <w:t>.</w:t>
      </w:r>
      <w:r w:rsidRPr="005D1845">
        <w:rPr>
          <w:sz w:val="22"/>
        </w:rPr>
        <w:t xml:space="preserve"> “New Consensus Macroeconomics:  A Critical Appraisal”. The Levy Economics Institute of Bard College, University of Cambridge. </w:t>
      </w:r>
      <w:r w:rsidRPr="005D1845">
        <w:rPr>
          <w:sz w:val="22"/>
          <w:lang w:val="es-BO"/>
        </w:rPr>
        <w:t xml:space="preserve">Disponible en </w:t>
      </w:r>
      <w:hyperlink r:id="rId104" w:history="1">
        <w:r w:rsidRPr="005D1845">
          <w:rPr>
            <w:rStyle w:val="Hipervnculo"/>
            <w:sz w:val="22"/>
            <w:lang w:val="es-BO"/>
          </w:rPr>
          <w:t>www.levy.org</w:t>
        </w:r>
      </w:hyperlink>
      <w:r w:rsidRPr="005D1845">
        <w:rPr>
          <w:sz w:val="22"/>
          <w:lang w:val="es-BO"/>
        </w:rPr>
        <w:t xml:space="preserve"> </w:t>
      </w:r>
    </w:p>
    <w:p w14:paraId="04A9D30F" w14:textId="77777777" w:rsidR="00096C84" w:rsidRPr="005D1845" w:rsidRDefault="00096C84" w:rsidP="00096C84">
      <w:pPr>
        <w:spacing w:after="0" w:line="240" w:lineRule="auto"/>
        <w:ind w:left="45" w:right="530"/>
        <w:rPr>
          <w:sz w:val="22"/>
          <w:lang w:val="es-BO"/>
        </w:rPr>
      </w:pPr>
    </w:p>
    <w:p w14:paraId="5D3AF482" w14:textId="79F47A5A" w:rsidR="00376BC6" w:rsidRPr="005D1845" w:rsidRDefault="002E6CEA" w:rsidP="00096C84">
      <w:pPr>
        <w:spacing w:after="0" w:line="240" w:lineRule="auto"/>
        <w:ind w:left="45" w:right="530"/>
        <w:rPr>
          <w:color w:val="auto"/>
          <w:sz w:val="22"/>
          <w:lang w:val="es-BO"/>
        </w:rPr>
      </w:pPr>
      <w:r w:rsidRPr="005D1845">
        <w:rPr>
          <w:color w:val="auto"/>
          <w:sz w:val="22"/>
          <w:lang w:val="es-BO"/>
        </w:rPr>
        <w:t xml:space="preserve">Arias, l. y </w:t>
      </w:r>
      <w:r w:rsidR="006426FC" w:rsidRPr="005D1845">
        <w:rPr>
          <w:color w:val="auto"/>
          <w:sz w:val="22"/>
          <w:lang w:val="es-BO"/>
        </w:rPr>
        <w:t>Guerrero</w:t>
      </w:r>
      <w:r w:rsidR="00376BC6" w:rsidRPr="005D1845">
        <w:rPr>
          <w:color w:val="auto"/>
          <w:sz w:val="22"/>
          <w:lang w:val="es-BO"/>
        </w:rPr>
        <w:t xml:space="preserve">, V. (1988). “Un Estudio Econométrico de la Inflación en México de 1970 a 1987”, Banco de México, Dirección General de Investigación Económica, Documento de Investigación No. 65, México, D. F., pp. 1-76. </w:t>
      </w:r>
    </w:p>
    <w:p w14:paraId="3306C349" w14:textId="1C4CC829" w:rsidR="003F15F1" w:rsidRPr="005D1845" w:rsidRDefault="003F15F1" w:rsidP="00096C84">
      <w:pPr>
        <w:spacing w:after="0" w:line="240" w:lineRule="auto"/>
        <w:ind w:left="45" w:right="530"/>
        <w:rPr>
          <w:color w:val="auto"/>
          <w:sz w:val="22"/>
          <w:lang w:val="es-BO"/>
        </w:rPr>
      </w:pPr>
    </w:p>
    <w:p w14:paraId="1021D4D2" w14:textId="519F433E" w:rsidR="00EF337E" w:rsidRPr="005D1845" w:rsidRDefault="00EF337E" w:rsidP="00EF337E">
      <w:pPr>
        <w:shd w:val="clear" w:color="auto" w:fill="FFFFFF"/>
        <w:spacing w:after="0" w:line="240" w:lineRule="auto"/>
        <w:ind w:left="62" w:right="539" w:hanging="11"/>
        <w:rPr>
          <w:color w:val="auto"/>
          <w:sz w:val="22"/>
          <w:lang w:val="es-BO"/>
        </w:rPr>
      </w:pPr>
      <w:r w:rsidRPr="005D1845">
        <w:rPr>
          <w:color w:val="auto"/>
          <w:sz w:val="22"/>
          <w:lang w:val="es-BO"/>
        </w:rPr>
        <w:t>Armas, A. y Grippa, F. (2005). “</w:t>
      </w:r>
      <w:hyperlink r:id="rId105" w:history="1">
        <w:r w:rsidRPr="005D1845">
          <w:rPr>
            <w:color w:val="auto"/>
            <w:sz w:val="22"/>
            <w:lang w:val="es-BO"/>
          </w:rPr>
          <w:t>Targeting Inflation in a Dollarized Economy: The Peruvian E</w:t>
        </w:r>
        <w:r w:rsidR="003F15F1" w:rsidRPr="005D1845">
          <w:rPr>
            <w:color w:val="auto"/>
            <w:sz w:val="22"/>
            <w:lang w:val="es-BO"/>
          </w:rPr>
          <w:t>xperience</w:t>
        </w:r>
      </w:hyperlink>
      <w:r w:rsidRPr="005D1845">
        <w:rPr>
          <w:color w:val="auto"/>
          <w:sz w:val="22"/>
          <w:lang w:val="es-BO"/>
        </w:rPr>
        <w:t>”, IDB Working Paper, Banco Central de la Reserva del Peru.</w:t>
      </w:r>
    </w:p>
    <w:p w14:paraId="24AF4910" w14:textId="2071A080" w:rsidR="003F15F1" w:rsidRPr="005D1845" w:rsidRDefault="003F15F1" w:rsidP="003F15F1">
      <w:pPr>
        <w:spacing w:after="0" w:line="240" w:lineRule="auto"/>
        <w:ind w:left="0" w:right="0" w:firstLine="0"/>
        <w:jc w:val="left"/>
        <w:rPr>
          <w:rFonts w:eastAsia="Times New Roman"/>
          <w:color w:val="auto"/>
          <w:sz w:val="22"/>
          <w:highlight w:val="green"/>
          <w:lang w:val="es-BO"/>
        </w:rPr>
      </w:pPr>
    </w:p>
    <w:p w14:paraId="48A78F22" w14:textId="77777777" w:rsidR="003F15F1" w:rsidRPr="005D1845" w:rsidRDefault="003F15F1" w:rsidP="00096C84">
      <w:pPr>
        <w:spacing w:after="0" w:line="240" w:lineRule="auto"/>
        <w:ind w:left="45" w:right="530"/>
        <w:rPr>
          <w:sz w:val="22"/>
          <w:lang w:val="es-BO"/>
        </w:rPr>
      </w:pPr>
    </w:p>
    <w:p w14:paraId="553A10D0" w14:textId="77777777" w:rsidR="00096C84" w:rsidRPr="005D1845" w:rsidRDefault="00096C84" w:rsidP="00096C84">
      <w:pPr>
        <w:spacing w:after="0" w:line="240" w:lineRule="auto"/>
        <w:ind w:left="45" w:right="530"/>
        <w:rPr>
          <w:sz w:val="22"/>
          <w:lang w:val="es-BO"/>
        </w:rPr>
      </w:pPr>
    </w:p>
    <w:p w14:paraId="4107D37D" w14:textId="64F00967" w:rsidR="00096C84" w:rsidRPr="005D1845" w:rsidRDefault="00096C84" w:rsidP="00096C84">
      <w:pPr>
        <w:spacing w:after="0" w:line="240" w:lineRule="auto"/>
        <w:ind w:right="530"/>
        <w:rPr>
          <w:sz w:val="22"/>
        </w:rPr>
      </w:pPr>
      <w:r w:rsidRPr="00F45D6D">
        <w:rPr>
          <w:sz w:val="22"/>
        </w:rPr>
        <w:t>Awartani, y Corradi</w:t>
      </w:r>
      <w:r w:rsidR="00F826D6" w:rsidRPr="00F45D6D">
        <w:rPr>
          <w:sz w:val="22"/>
        </w:rPr>
        <w:t xml:space="preserve">, V. (2005). </w:t>
      </w:r>
      <w:r w:rsidR="00F826D6" w:rsidRPr="005D1845">
        <w:rPr>
          <w:sz w:val="22"/>
        </w:rPr>
        <w:t>“Predicting the V</w:t>
      </w:r>
      <w:r w:rsidRPr="005D1845">
        <w:rPr>
          <w:sz w:val="22"/>
        </w:rPr>
        <w:t>olatility of th</w:t>
      </w:r>
      <w:r w:rsidR="00F826D6" w:rsidRPr="005D1845">
        <w:rPr>
          <w:sz w:val="22"/>
        </w:rPr>
        <w:t xml:space="preserve">e S y </w:t>
      </w:r>
      <w:r w:rsidRPr="005D1845">
        <w:rPr>
          <w:sz w:val="22"/>
        </w:rPr>
        <w:t xml:space="preserve">P500 stock index via   </w:t>
      </w:r>
      <w:r w:rsidR="0070015B" w:rsidRPr="005D1845">
        <w:rPr>
          <w:sz w:val="22"/>
        </w:rPr>
        <w:t>GARCH models: The Role of A</w:t>
      </w:r>
      <w:r w:rsidRPr="005D1845">
        <w:rPr>
          <w:sz w:val="22"/>
        </w:rPr>
        <w:t xml:space="preserve">symmetries”. </w:t>
      </w:r>
      <w:r w:rsidRPr="005D1845">
        <w:rPr>
          <w:i/>
          <w:sz w:val="22"/>
        </w:rPr>
        <w:t>International Journal of Forecasting</w:t>
      </w:r>
      <w:r w:rsidRPr="005D1845">
        <w:rPr>
          <w:sz w:val="22"/>
        </w:rPr>
        <w:t xml:space="preserve">, </w:t>
      </w:r>
      <w:r w:rsidR="0070015B" w:rsidRPr="005D1845">
        <w:rPr>
          <w:sz w:val="22"/>
        </w:rPr>
        <w:t xml:space="preserve">nro. </w:t>
      </w:r>
      <w:r w:rsidRPr="005D1845">
        <w:rPr>
          <w:sz w:val="22"/>
        </w:rPr>
        <w:t xml:space="preserve">21, pp.167-183.  </w:t>
      </w:r>
    </w:p>
    <w:p w14:paraId="67A5B1D9" w14:textId="0FB2BDB0" w:rsidR="00EF40F5" w:rsidRPr="005D1845" w:rsidRDefault="00EF40F5" w:rsidP="00096C84">
      <w:pPr>
        <w:spacing w:after="0" w:line="240" w:lineRule="auto"/>
        <w:ind w:right="530"/>
        <w:rPr>
          <w:sz w:val="22"/>
        </w:rPr>
      </w:pPr>
    </w:p>
    <w:p w14:paraId="5723BAC4" w14:textId="2E968462" w:rsidR="00EF40F5" w:rsidRPr="005D1845" w:rsidRDefault="00EF40F5" w:rsidP="00096C84">
      <w:pPr>
        <w:spacing w:after="0" w:line="240" w:lineRule="auto"/>
        <w:ind w:right="530"/>
        <w:rPr>
          <w:sz w:val="22"/>
          <w:lang w:val="es-BO"/>
        </w:rPr>
      </w:pPr>
      <w:r w:rsidRPr="005D1845">
        <w:rPr>
          <w:sz w:val="22"/>
        </w:rPr>
        <w:t>Melo Modenesi, A. y de Araújo, E. C. (2013)</w:t>
      </w:r>
      <w:r w:rsidR="00836757" w:rsidRPr="005D1845">
        <w:rPr>
          <w:sz w:val="22"/>
        </w:rPr>
        <w:t xml:space="preserve">. </w:t>
      </w:r>
      <w:r w:rsidR="00836757" w:rsidRPr="005D1845">
        <w:rPr>
          <w:sz w:val="22"/>
          <w:lang w:val="es-BO"/>
        </w:rPr>
        <w:t>“</w:t>
      </w:r>
      <w:r w:rsidRPr="005D1845">
        <w:rPr>
          <w:sz w:val="22"/>
          <w:lang w:val="es-BO"/>
        </w:rPr>
        <w:t>Estabilidad de precios bajo metas de inflación en Brasil: análisis empírico del mecanismo de transmisión de la política monetaria con base en un modelo var, 2000-2008</w:t>
      </w:r>
      <w:r w:rsidR="00836757" w:rsidRPr="005D1845">
        <w:rPr>
          <w:sz w:val="22"/>
          <w:lang w:val="es-BO"/>
        </w:rPr>
        <w:t>”</w:t>
      </w:r>
      <w:r w:rsidRPr="005D1845">
        <w:rPr>
          <w:sz w:val="22"/>
          <w:lang w:val="es-BO"/>
        </w:rPr>
        <w:t>, </w:t>
      </w:r>
      <w:r w:rsidR="00836757" w:rsidRPr="005D1845">
        <w:rPr>
          <w:sz w:val="22"/>
          <w:lang w:val="es-BO"/>
        </w:rPr>
        <w:t xml:space="preserve">Revista </w:t>
      </w:r>
      <w:r w:rsidRPr="005D1845">
        <w:rPr>
          <w:sz w:val="22"/>
          <w:lang w:val="es-BO"/>
        </w:rPr>
        <w:t xml:space="preserve">Investigación Económica, </w:t>
      </w:r>
      <w:r w:rsidR="00836757" w:rsidRPr="005D1845">
        <w:rPr>
          <w:sz w:val="22"/>
          <w:lang w:val="es-BO"/>
        </w:rPr>
        <w:t>UNAM, vol.72.</w:t>
      </w:r>
    </w:p>
    <w:p w14:paraId="2368BB1A" w14:textId="77777777" w:rsidR="00096C84" w:rsidRPr="005D1845" w:rsidRDefault="00096C84" w:rsidP="00096C84">
      <w:pPr>
        <w:spacing w:after="0" w:line="240" w:lineRule="auto"/>
        <w:ind w:right="530"/>
        <w:rPr>
          <w:sz w:val="22"/>
          <w:lang w:val="es-BO"/>
        </w:rPr>
      </w:pPr>
    </w:p>
    <w:p w14:paraId="39C2FD7D" w14:textId="78D1E632" w:rsidR="00376BC6" w:rsidRPr="005D1845" w:rsidRDefault="007877BC" w:rsidP="00096C84">
      <w:pPr>
        <w:spacing w:after="0" w:line="240" w:lineRule="auto"/>
        <w:ind w:left="45" w:right="530"/>
        <w:rPr>
          <w:sz w:val="22"/>
        </w:rPr>
      </w:pPr>
      <w:r w:rsidRPr="005D1845">
        <w:rPr>
          <w:sz w:val="22"/>
        </w:rPr>
        <w:t>Bank for International S</w:t>
      </w:r>
      <w:r w:rsidR="006426FC" w:rsidRPr="005D1845">
        <w:rPr>
          <w:sz w:val="22"/>
        </w:rPr>
        <w:t xml:space="preserve">ettlements </w:t>
      </w:r>
      <w:r w:rsidR="00F826D6" w:rsidRPr="005D1845">
        <w:rPr>
          <w:sz w:val="22"/>
        </w:rPr>
        <w:t>(2005).</w:t>
      </w:r>
      <w:r w:rsidR="00376BC6" w:rsidRPr="005D1845">
        <w:rPr>
          <w:sz w:val="22"/>
        </w:rPr>
        <w:t xml:space="preserve"> “Foreign exchange market intervention in emerging markets: motives, techniques and implic</w:t>
      </w:r>
      <w:r w:rsidR="00F826D6" w:rsidRPr="005D1845">
        <w:rPr>
          <w:sz w:val="22"/>
        </w:rPr>
        <w:t>ations”, BIS Papers No. 24</w:t>
      </w:r>
      <w:r w:rsidR="00376BC6" w:rsidRPr="005D1845">
        <w:rPr>
          <w:sz w:val="22"/>
        </w:rPr>
        <w:t xml:space="preserve">. </w:t>
      </w:r>
    </w:p>
    <w:p w14:paraId="4A8C8CAA" w14:textId="77777777" w:rsidR="00F826D6" w:rsidRPr="005D1845" w:rsidRDefault="00F826D6" w:rsidP="00096C84">
      <w:pPr>
        <w:spacing w:after="0" w:line="240" w:lineRule="auto"/>
        <w:ind w:left="45" w:right="530"/>
        <w:rPr>
          <w:sz w:val="22"/>
        </w:rPr>
      </w:pPr>
    </w:p>
    <w:p w14:paraId="08836B39" w14:textId="5217B713" w:rsidR="00DD2B4E" w:rsidRPr="005D1845" w:rsidRDefault="00DD2B4E" w:rsidP="00096C84">
      <w:pPr>
        <w:spacing w:after="0" w:line="240" w:lineRule="auto"/>
        <w:ind w:left="45" w:right="527" w:hanging="11"/>
        <w:rPr>
          <w:sz w:val="22"/>
        </w:rPr>
      </w:pPr>
      <w:r w:rsidRPr="005D1845">
        <w:rPr>
          <w:sz w:val="22"/>
        </w:rPr>
        <w:t>Bal</w:t>
      </w:r>
      <w:r w:rsidR="00307689" w:rsidRPr="005D1845">
        <w:rPr>
          <w:sz w:val="22"/>
        </w:rPr>
        <w:t>l, Laurence (1999</w:t>
      </w:r>
      <w:r w:rsidR="00EB2815" w:rsidRPr="005D1845">
        <w:rPr>
          <w:sz w:val="22"/>
        </w:rPr>
        <w:t>), “Efficient Rules for Monetary P</w:t>
      </w:r>
      <w:r w:rsidRPr="005D1845">
        <w:rPr>
          <w:sz w:val="22"/>
        </w:rPr>
        <w:t xml:space="preserve">olicy”, </w:t>
      </w:r>
      <w:r w:rsidR="00284C30" w:rsidRPr="005D1845">
        <w:rPr>
          <w:sz w:val="22"/>
        </w:rPr>
        <w:t>NBER</w:t>
      </w:r>
      <w:r w:rsidR="002E6CEA" w:rsidRPr="005D1845">
        <w:rPr>
          <w:sz w:val="22"/>
        </w:rPr>
        <w:t xml:space="preserve"> </w:t>
      </w:r>
      <w:r w:rsidR="00F826D6" w:rsidRPr="005D1845">
        <w:rPr>
          <w:sz w:val="22"/>
        </w:rPr>
        <w:t>Working Papers, núm. 5</w:t>
      </w:r>
      <w:r w:rsidRPr="005D1845">
        <w:rPr>
          <w:sz w:val="22"/>
        </w:rPr>
        <w:t xml:space="preserve">, Massachusetts, </w:t>
      </w:r>
      <w:r w:rsidR="00284C30" w:rsidRPr="005D1845">
        <w:rPr>
          <w:sz w:val="22"/>
        </w:rPr>
        <w:t>NBER</w:t>
      </w:r>
      <w:r w:rsidRPr="005D1845">
        <w:rPr>
          <w:sz w:val="22"/>
        </w:rPr>
        <w:t>, marzo, pp. 1-24.</w:t>
      </w:r>
    </w:p>
    <w:p w14:paraId="34B50FC6" w14:textId="77777777" w:rsidR="00DD2B4E" w:rsidRPr="005D1845" w:rsidRDefault="00DD2B4E" w:rsidP="00096C84">
      <w:pPr>
        <w:spacing w:after="0" w:line="240" w:lineRule="auto"/>
        <w:ind w:left="0" w:right="527" w:firstLine="0"/>
        <w:rPr>
          <w:sz w:val="22"/>
        </w:rPr>
      </w:pPr>
    </w:p>
    <w:p w14:paraId="171186AE" w14:textId="72E938CB" w:rsidR="00D6751D" w:rsidRPr="005D1845" w:rsidRDefault="002E6CEA" w:rsidP="00096C84">
      <w:pPr>
        <w:spacing w:after="0" w:line="240" w:lineRule="auto"/>
        <w:ind w:right="530"/>
        <w:rPr>
          <w:sz w:val="22"/>
        </w:rPr>
      </w:pPr>
      <w:r w:rsidRPr="005D1845">
        <w:rPr>
          <w:sz w:val="22"/>
        </w:rPr>
        <w:t>Ball, l. y</w:t>
      </w:r>
      <w:r w:rsidR="006426FC" w:rsidRPr="005D1845">
        <w:rPr>
          <w:sz w:val="22"/>
        </w:rPr>
        <w:t xml:space="preserve"> N. Sheridan </w:t>
      </w:r>
      <w:r w:rsidR="00F826D6" w:rsidRPr="005D1845">
        <w:rPr>
          <w:sz w:val="22"/>
        </w:rPr>
        <w:t>(2003).</w:t>
      </w:r>
      <w:r w:rsidR="00376BC6" w:rsidRPr="005D1845">
        <w:rPr>
          <w:sz w:val="22"/>
        </w:rPr>
        <w:t xml:space="preserve"> “Does Inflation Targeting Matter?”, Working Paper Num. 9577, </w:t>
      </w:r>
      <w:r w:rsidR="00284C30" w:rsidRPr="005D1845">
        <w:rPr>
          <w:sz w:val="22"/>
        </w:rPr>
        <w:t>NBER</w:t>
      </w:r>
      <w:r w:rsidR="00376BC6" w:rsidRPr="005D1845">
        <w:rPr>
          <w:sz w:val="22"/>
        </w:rPr>
        <w:t xml:space="preserve"> Working Paper Series, March.</w:t>
      </w:r>
    </w:p>
    <w:p w14:paraId="3C5419F6" w14:textId="77777777" w:rsidR="00C05010" w:rsidRPr="005D1845" w:rsidRDefault="00C05010" w:rsidP="00096C84">
      <w:pPr>
        <w:spacing w:after="0" w:line="240" w:lineRule="auto"/>
        <w:ind w:right="530"/>
        <w:rPr>
          <w:sz w:val="22"/>
        </w:rPr>
      </w:pPr>
    </w:p>
    <w:p w14:paraId="212ADCE6" w14:textId="5A063CB7" w:rsidR="00376BC6" w:rsidRPr="005D1845" w:rsidRDefault="00D6751D" w:rsidP="00096C84">
      <w:pPr>
        <w:spacing w:after="0" w:line="240" w:lineRule="auto"/>
        <w:ind w:right="530"/>
        <w:rPr>
          <w:sz w:val="22"/>
          <w:lang w:val="es-BO"/>
        </w:rPr>
      </w:pPr>
      <w:r w:rsidRPr="005D1845">
        <w:rPr>
          <w:sz w:val="22"/>
          <w:lang w:val="es-BO"/>
        </w:rPr>
        <w:t>Bar</w:t>
      </w:r>
      <w:r w:rsidR="00EB2815" w:rsidRPr="005D1845">
        <w:rPr>
          <w:sz w:val="22"/>
          <w:lang w:val="es-BO"/>
        </w:rPr>
        <w:t>boza, Ricardo (2015). “Taxa de Juros e Mecanismos de Transmissão da política M</w:t>
      </w:r>
      <w:r w:rsidRPr="005D1845">
        <w:rPr>
          <w:sz w:val="22"/>
          <w:lang w:val="es-BO"/>
        </w:rPr>
        <w:t>onetária no Brasil”. </w:t>
      </w:r>
      <w:r w:rsidRPr="005D1845">
        <w:rPr>
          <w:bCs/>
          <w:i/>
          <w:sz w:val="22"/>
          <w:lang w:val="es-BO"/>
        </w:rPr>
        <w:t>Brazilian Journal of Political Economy</w:t>
      </w:r>
      <w:r w:rsidR="00F826D6" w:rsidRPr="005D1845">
        <w:rPr>
          <w:sz w:val="22"/>
          <w:lang w:val="es-BO"/>
        </w:rPr>
        <w:t>, v. 35</w:t>
      </w:r>
      <w:r w:rsidR="0070015B" w:rsidRPr="005D1845">
        <w:rPr>
          <w:sz w:val="22"/>
          <w:lang w:val="es-BO"/>
        </w:rPr>
        <w:t>, p. 133-155.</w:t>
      </w:r>
      <w:r w:rsidR="00376BC6" w:rsidRPr="005D1845">
        <w:rPr>
          <w:sz w:val="22"/>
          <w:lang w:val="es-BO"/>
        </w:rPr>
        <w:t xml:space="preserve">  </w:t>
      </w:r>
    </w:p>
    <w:p w14:paraId="2AC5AA1F" w14:textId="77777777" w:rsidR="00096C84" w:rsidRPr="005D1845" w:rsidRDefault="00096C84" w:rsidP="00096C84">
      <w:pPr>
        <w:spacing w:after="0" w:line="240" w:lineRule="auto"/>
        <w:ind w:right="530"/>
        <w:rPr>
          <w:sz w:val="22"/>
          <w:lang w:val="es-BO"/>
        </w:rPr>
      </w:pPr>
    </w:p>
    <w:p w14:paraId="1387B7D7" w14:textId="1BB01FC3" w:rsidR="0031372E" w:rsidRPr="005D1845" w:rsidRDefault="0031372E" w:rsidP="0031372E">
      <w:pPr>
        <w:spacing w:after="0" w:line="240" w:lineRule="auto"/>
        <w:ind w:left="45" w:right="530"/>
        <w:rPr>
          <w:sz w:val="22"/>
          <w:lang w:val="es-BO"/>
        </w:rPr>
      </w:pPr>
      <w:r w:rsidRPr="005D1845">
        <w:rPr>
          <w:sz w:val="22"/>
          <w:lang w:val="es-BO"/>
        </w:rPr>
        <w:t>Baqueiro, A., A. Díaz de León y A. Torres García (2003). “¿Temor a la flotación o a la inflación? La importancia del ‘traspaso’ del tipo de cambio a los precios”, Banco de México Documentos de In</w:t>
      </w:r>
      <w:r w:rsidR="0070015B" w:rsidRPr="005D1845">
        <w:rPr>
          <w:sz w:val="22"/>
          <w:lang w:val="es-BO"/>
        </w:rPr>
        <w:t>vestigación núm. 2003-02.</w:t>
      </w:r>
    </w:p>
    <w:p w14:paraId="4DCA82C7" w14:textId="77777777" w:rsidR="0031372E" w:rsidRPr="005D1845" w:rsidRDefault="0031372E" w:rsidP="00096C84">
      <w:pPr>
        <w:spacing w:after="0" w:line="240" w:lineRule="auto"/>
        <w:ind w:left="45" w:right="530"/>
        <w:rPr>
          <w:sz w:val="22"/>
          <w:lang w:val="es-BO"/>
        </w:rPr>
      </w:pPr>
    </w:p>
    <w:p w14:paraId="4FE47139" w14:textId="4CF6ED81" w:rsidR="00220946" w:rsidRPr="005D1845" w:rsidRDefault="006426FC" w:rsidP="00096C84">
      <w:pPr>
        <w:spacing w:after="0" w:line="240" w:lineRule="auto"/>
        <w:ind w:left="45" w:right="530"/>
        <w:rPr>
          <w:sz w:val="22"/>
        </w:rPr>
      </w:pPr>
      <w:r w:rsidRPr="005D1845">
        <w:rPr>
          <w:sz w:val="22"/>
        </w:rPr>
        <w:t>Barro, R. j. y Grossman</w:t>
      </w:r>
      <w:r w:rsidR="00F826D6" w:rsidRPr="005D1845">
        <w:rPr>
          <w:sz w:val="22"/>
        </w:rPr>
        <w:t>, H. I. (1974) “Suppressed Inflation and the Supply M</w:t>
      </w:r>
      <w:r w:rsidR="00376BC6" w:rsidRPr="005D1845">
        <w:rPr>
          <w:sz w:val="22"/>
        </w:rPr>
        <w:t xml:space="preserve">ultiplier” en </w:t>
      </w:r>
      <w:r w:rsidR="00376BC6" w:rsidRPr="005D1845">
        <w:rPr>
          <w:i/>
          <w:sz w:val="22"/>
        </w:rPr>
        <w:t>Review of Economic Studies</w:t>
      </w:r>
      <w:r w:rsidR="0070015B" w:rsidRPr="005D1845">
        <w:rPr>
          <w:sz w:val="22"/>
        </w:rPr>
        <w:t>, Nro.</w:t>
      </w:r>
      <w:r w:rsidR="00376BC6" w:rsidRPr="005D1845">
        <w:rPr>
          <w:sz w:val="22"/>
        </w:rPr>
        <w:t xml:space="preserve"> 41. </w:t>
      </w:r>
    </w:p>
    <w:p w14:paraId="5B0FD6EB" w14:textId="1B085976" w:rsidR="007877BC" w:rsidRPr="005D1845" w:rsidRDefault="007877BC" w:rsidP="00096C84">
      <w:pPr>
        <w:spacing w:after="0" w:line="240" w:lineRule="auto"/>
        <w:ind w:left="45" w:right="530"/>
        <w:rPr>
          <w:sz w:val="22"/>
        </w:rPr>
      </w:pPr>
    </w:p>
    <w:p w14:paraId="2A5CB279" w14:textId="37039CA9" w:rsidR="007877BC" w:rsidRPr="005D1845" w:rsidRDefault="007877BC" w:rsidP="00096C84">
      <w:pPr>
        <w:spacing w:after="0" w:line="240" w:lineRule="auto"/>
        <w:ind w:left="45" w:right="530"/>
        <w:rPr>
          <w:sz w:val="22"/>
          <w:lang w:val="es-BO"/>
        </w:rPr>
      </w:pPr>
      <w:r w:rsidRPr="005D1845">
        <w:rPr>
          <w:sz w:val="22"/>
          <w:lang w:val="es-BO"/>
        </w:rPr>
        <w:t xml:space="preserve">Banxico (2001) “Informe Anual 2000” Disponible en </w:t>
      </w:r>
      <w:hyperlink r:id="rId106" w:history="1">
        <w:r w:rsidRPr="005D1845">
          <w:rPr>
            <w:rStyle w:val="Hipervnculo"/>
            <w:sz w:val="22"/>
            <w:lang w:val="es-BO"/>
          </w:rPr>
          <w:t>www.banxico.org.mx</w:t>
        </w:r>
      </w:hyperlink>
    </w:p>
    <w:p w14:paraId="209DC4EE" w14:textId="77777777" w:rsidR="007877BC" w:rsidRPr="005D1845" w:rsidRDefault="007877BC" w:rsidP="00096C84">
      <w:pPr>
        <w:spacing w:after="0" w:line="240" w:lineRule="auto"/>
        <w:ind w:left="45" w:right="530"/>
        <w:rPr>
          <w:sz w:val="22"/>
          <w:lang w:val="es-BO"/>
        </w:rPr>
      </w:pPr>
    </w:p>
    <w:p w14:paraId="61CB3BE2" w14:textId="6296E55C" w:rsidR="007877BC" w:rsidRPr="005D1845" w:rsidRDefault="007877BC" w:rsidP="00096C84">
      <w:pPr>
        <w:spacing w:after="0" w:line="240" w:lineRule="auto"/>
        <w:ind w:left="45" w:right="530"/>
        <w:rPr>
          <w:sz w:val="22"/>
          <w:lang w:val="es-BO"/>
        </w:rPr>
      </w:pPr>
      <w:r w:rsidRPr="005D1845">
        <w:rPr>
          <w:sz w:val="22"/>
          <w:lang w:val="es-BO"/>
        </w:rPr>
        <w:t xml:space="preserve">Banxico (2010) “Informe Anual 2009” Disponible en </w:t>
      </w:r>
      <w:hyperlink r:id="rId107" w:history="1">
        <w:r w:rsidRPr="005D1845">
          <w:rPr>
            <w:rStyle w:val="Hipervnculo"/>
            <w:sz w:val="22"/>
            <w:lang w:val="es-BO"/>
          </w:rPr>
          <w:t>www.banxico.org.mx</w:t>
        </w:r>
      </w:hyperlink>
    </w:p>
    <w:p w14:paraId="51E9D9A8" w14:textId="77777777" w:rsidR="007877BC" w:rsidRPr="005D1845" w:rsidRDefault="007877BC" w:rsidP="00096C84">
      <w:pPr>
        <w:spacing w:after="0" w:line="240" w:lineRule="auto"/>
        <w:ind w:left="45" w:right="530"/>
        <w:rPr>
          <w:sz w:val="22"/>
          <w:lang w:val="es-BO"/>
        </w:rPr>
      </w:pPr>
    </w:p>
    <w:p w14:paraId="53D30A67" w14:textId="2099F89B" w:rsidR="007877BC" w:rsidRPr="005D1845" w:rsidRDefault="007877BC" w:rsidP="00096C84">
      <w:pPr>
        <w:spacing w:after="0" w:line="240" w:lineRule="auto"/>
        <w:ind w:left="45" w:right="530"/>
        <w:rPr>
          <w:sz w:val="22"/>
          <w:lang w:val="es-BO"/>
        </w:rPr>
      </w:pPr>
      <w:r w:rsidRPr="005D1845">
        <w:rPr>
          <w:sz w:val="22"/>
          <w:lang w:val="es-BO"/>
        </w:rPr>
        <w:t xml:space="preserve">Banxico (2011) “Informe Anual 2010” Disponible en </w:t>
      </w:r>
      <w:hyperlink r:id="rId108" w:history="1">
        <w:r w:rsidRPr="005D1845">
          <w:rPr>
            <w:rStyle w:val="Hipervnculo"/>
            <w:sz w:val="22"/>
            <w:lang w:val="es-BO"/>
          </w:rPr>
          <w:t>www.banxico.org.mx</w:t>
        </w:r>
      </w:hyperlink>
    </w:p>
    <w:p w14:paraId="4DE31359" w14:textId="77777777" w:rsidR="007877BC" w:rsidRPr="005D1845" w:rsidRDefault="007877BC" w:rsidP="00096C84">
      <w:pPr>
        <w:spacing w:after="0" w:line="240" w:lineRule="auto"/>
        <w:ind w:left="45" w:right="530"/>
        <w:rPr>
          <w:sz w:val="22"/>
          <w:lang w:val="es-BO"/>
        </w:rPr>
      </w:pPr>
    </w:p>
    <w:p w14:paraId="176AE564" w14:textId="3BB35318" w:rsidR="007877BC" w:rsidRPr="005D1845" w:rsidRDefault="007877BC" w:rsidP="00096C84">
      <w:pPr>
        <w:spacing w:after="0" w:line="240" w:lineRule="auto"/>
        <w:ind w:left="45" w:right="530"/>
        <w:rPr>
          <w:sz w:val="22"/>
          <w:lang w:val="es-BO"/>
        </w:rPr>
      </w:pPr>
      <w:r w:rsidRPr="005D1845">
        <w:rPr>
          <w:sz w:val="22"/>
          <w:lang w:val="es-BO"/>
        </w:rPr>
        <w:t xml:space="preserve">Banxico (2017) “Informe Anual 2012” Disponible en </w:t>
      </w:r>
      <w:hyperlink r:id="rId109" w:history="1">
        <w:r w:rsidRPr="005D1845">
          <w:rPr>
            <w:rStyle w:val="Hipervnculo"/>
            <w:sz w:val="22"/>
            <w:lang w:val="es-BO"/>
          </w:rPr>
          <w:t>www.banxico.org.mx</w:t>
        </w:r>
      </w:hyperlink>
    </w:p>
    <w:p w14:paraId="33572A07" w14:textId="40790642" w:rsidR="00DD2B4E" w:rsidRPr="005D1845" w:rsidRDefault="00DD2B4E" w:rsidP="0031372E">
      <w:pPr>
        <w:spacing w:after="0" w:line="240" w:lineRule="auto"/>
        <w:ind w:left="0" w:right="530" w:firstLine="0"/>
        <w:rPr>
          <w:sz w:val="22"/>
          <w:lang w:val="es-BO"/>
        </w:rPr>
      </w:pPr>
    </w:p>
    <w:p w14:paraId="31F4192C" w14:textId="235CBB1C" w:rsidR="00376BC6" w:rsidRPr="005D1845" w:rsidRDefault="006426FC" w:rsidP="00096C84">
      <w:pPr>
        <w:spacing w:after="0" w:line="240" w:lineRule="auto"/>
        <w:ind w:left="35" w:right="530" w:firstLine="0"/>
        <w:rPr>
          <w:i/>
          <w:sz w:val="22"/>
          <w:lang w:val="es-BO"/>
        </w:rPr>
      </w:pPr>
      <w:r w:rsidRPr="005D1845">
        <w:rPr>
          <w:sz w:val="22"/>
          <w:lang w:val="es-BO"/>
        </w:rPr>
        <w:t xml:space="preserve">Bernanke, </w:t>
      </w:r>
      <w:r w:rsidR="007C7DC2" w:rsidRPr="005D1845">
        <w:rPr>
          <w:sz w:val="22"/>
          <w:lang w:val="es-BO"/>
        </w:rPr>
        <w:t>B. y M. G</w:t>
      </w:r>
      <w:r w:rsidRPr="005D1845">
        <w:rPr>
          <w:sz w:val="22"/>
          <w:lang w:val="es-BO"/>
        </w:rPr>
        <w:t xml:space="preserve">ertler </w:t>
      </w:r>
      <w:r w:rsidR="00F826D6" w:rsidRPr="005D1845">
        <w:rPr>
          <w:sz w:val="22"/>
          <w:lang w:val="es-BO"/>
        </w:rPr>
        <w:t>(1999).</w:t>
      </w:r>
      <w:r w:rsidR="00376BC6" w:rsidRPr="005D1845">
        <w:rPr>
          <w:sz w:val="22"/>
          <w:lang w:val="es-BO"/>
        </w:rPr>
        <w:t xml:space="preserve"> “Monetary Policy and Asset Price Volatility”, en </w:t>
      </w:r>
      <w:r w:rsidR="00376BC6" w:rsidRPr="005D1845">
        <w:rPr>
          <w:i/>
          <w:sz w:val="22"/>
          <w:lang w:val="es-BO"/>
        </w:rPr>
        <w:t>New Challenges for Monetary Policy</w:t>
      </w:r>
      <w:r w:rsidR="00376BC6" w:rsidRPr="005D1845">
        <w:rPr>
          <w:sz w:val="22"/>
          <w:lang w:val="es-BO"/>
        </w:rPr>
        <w:t>, Documento para el Simposium organizado por el</w:t>
      </w:r>
      <w:r w:rsidR="00376BC6" w:rsidRPr="005D1845">
        <w:rPr>
          <w:i/>
          <w:sz w:val="22"/>
          <w:lang w:val="es-BO"/>
        </w:rPr>
        <w:t xml:space="preserve"> </w:t>
      </w:r>
      <w:r w:rsidR="00376BC6" w:rsidRPr="005D1845">
        <w:rPr>
          <w:sz w:val="22"/>
          <w:lang w:val="es-BO"/>
        </w:rPr>
        <w:t xml:space="preserve">Banco de la Reserva Federal de Kansas City, Jackson Hole, Wyoming, </w:t>
      </w:r>
      <w:r w:rsidR="001621FB" w:rsidRPr="005D1845">
        <w:rPr>
          <w:sz w:val="22"/>
          <w:lang w:val="es-BO"/>
        </w:rPr>
        <w:t>pp.</w:t>
      </w:r>
      <w:r w:rsidR="00376BC6" w:rsidRPr="005D1845">
        <w:rPr>
          <w:i/>
          <w:sz w:val="22"/>
          <w:lang w:val="es-BO"/>
        </w:rPr>
        <w:t xml:space="preserve"> </w:t>
      </w:r>
      <w:r w:rsidR="00376BC6" w:rsidRPr="005D1845">
        <w:rPr>
          <w:sz w:val="22"/>
          <w:lang w:val="es-BO"/>
        </w:rPr>
        <w:t>26-28.</w:t>
      </w:r>
      <w:r w:rsidR="00376BC6" w:rsidRPr="005D1845">
        <w:rPr>
          <w:i/>
          <w:sz w:val="22"/>
          <w:lang w:val="es-BO"/>
        </w:rPr>
        <w:t xml:space="preserve"> </w:t>
      </w:r>
    </w:p>
    <w:p w14:paraId="3A5C41BB" w14:textId="77777777" w:rsidR="00096C84" w:rsidRPr="005D1845" w:rsidRDefault="00096C84" w:rsidP="00096C84">
      <w:pPr>
        <w:spacing w:after="0" w:line="240" w:lineRule="auto"/>
        <w:ind w:left="35" w:right="530" w:firstLine="0"/>
        <w:rPr>
          <w:sz w:val="22"/>
          <w:lang w:val="es-BO"/>
        </w:rPr>
      </w:pPr>
    </w:p>
    <w:p w14:paraId="50883AF1" w14:textId="56B9FBE2" w:rsidR="00096C84" w:rsidRPr="005D1845" w:rsidRDefault="007C7DC2" w:rsidP="00096C84">
      <w:pPr>
        <w:spacing w:after="0" w:line="240" w:lineRule="auto"/>
        <w:ind w:left="45" w:right="530"/>
        <w:rPr>
          <w:sz w:val="22"/>
        </w:rPr>
      </w:pPr>
      <w:r w:rsidRPr="005D1845">
        <w:rPr>
          <w:sz w:val="22"/>
        </w:rPr>
        <w:t>B</w:t>
      </w:r>
      <w:r w:rsidR="006426FC" w:rsidRPr="005D1845">
        <w:rPr>
          <w:sz w:val="22"/>
        </w:rPr>
        <w:t xml:space="preserve">ernanke, </w:t>
      </w:r>
      <w:r w:rsidR="001621FB" w:rsidRPr="005D1845">
        <w:rPr>
          <w:sz w:val="22"/>
        </w:rPr>
        <w:t>B.; T. Laubach; F. Mishkin y A.S</w:t>
      </w:r>
      <w:r w:rsidRPr="005D1845">
        <w:rPr>
          <w:sz w:val="22"/>
        </w:rPr>
        <w:t>. P</w:t>
      </w:r>
      <w:r w:rsidR="006426FC" w:rsidRPr="005D1845">
        <w:rPr>
          <w:sz w:val="22"/>
        </w:rPr>
        <w:t xml:space="preserve">osen </w:t>
      </w:r>
      <w:r w:rsidR="00F826D6" w:rsidRPr="005D1845">
        <w:rPr>
          <w:sz w:val="22"/>
        </w:rPr>
        <w:t>(1999).</w:t>
      </w:r>
      <w:r w:rsidR="00376BC6" w:rsidRPr="005D1845">
        <w:rPr>
          <w:sz w:val="22"/>
        </w:rPr>
        <w:t xml:space="preserve"> “Inflation Targeting. Lessons from the International Experience”, Nueva Jersey, Princeton University Press.</w:t>
      </w:r>
    </w:p>
    <w:p w14:paraId="7C768386" w14:textId="516CA87A" w:rsidR="00376BC6" w:rsidRPr="005D1845" w:rsidRDefault="00376BC6" w:rsidP="00096C84">
      <w:pPr>
        <w:spacing w:after="0" w:line="240" w:lineRule="auto"/>
        <w:ind w:left="45" w:right="530"/>
        <w:rPr>
          <w:sz w:val="22"/>
        </w:rPr>
      </w:pPr>
      <w:r w:rsidRPr="005D1845">
        <w:rPr>
          <w:sz w:val="22"/>
        </w:rPr>
        <w:t xml:space="preserve"> </w:t>
      </w:r>
    </w:p>
    <w:p w14:paraId="69A0A403" w14:textId="0A4473BD" w:rsidR="00376BC6" w:rsidRPr="005D1845" w:rsidRDefault="007C7DC2" w:rsidP="00096C84">
      <w:pPr>
        <w:spacing w:after="0" w:line="240" w:lineRule="auto"/>
        <w:ind w:left="45" w:right="530"/>
        <w:rPr>
          <w:sz w:val="22"/>
          <w:lang w:val="es-BO"/>
        </w:rPr>
      </w:pPr>
      <w:r w:rsidRPr="005D1845">
        <w:rPr>
          <w:sz w:val="22"/>
          <w:lang w:val="es-BO"/>
        </w:rPr>
        <w:t>B</w:t>
      </w:r>
      <w:r w:rsidR="001621FB" w:rsidRPr="005D1845">
        <w:rPr>
          <w:sz w:val="22"/>
          <w:lang w:val="es-BO"/>
        </w:rPr>
        <w:t>ernanke, B</w:t>
      </w:r>
      <w:r w:rsidRPr="005D1845">
        <w:rPr>
          <w:sz w:val="22"/>
          <w:lang w:val="es-BO"/>
        </w:rPr>
        <w:t>en y Mishkin, Frederic</w:t>
      </w:r>
      <w:r w:rsidR="006426FC" w:rsidRPr="005D1845">
        <w:rPr>
          <w:sz w:val="22"/>
          <w:lang w:val="es-BO"/>
        </w:rPr>
        <w:t xml:space="preserve"> </w:t>
      </w:r>
      <w:r w:rsidR="00F826D6" w:rsidRPr="005D1845">
        <w:rPr>
          <w:sz w:val="22"/>
          <w:lang w:val="es-BO"/>
        </w:rPr>
        <w:t>(1997).</w:t>
      </w:r>
      <w:r w:rsidR="00376BC6" w:rsidRPr="005D1845">
        <w:rPr>
          <w:sz w:val="22"/>
          <w:lang w:val="es-BO"/>
        </w:rPr>
        <w:t xml:space="preserve"> “Metas en materia de Inflación: ¿Nuevo Marco de Política Monetaria?”, </w:t>
      </w:r>
      <w:r w:rsidR="00376BC6" w:rsidRPr="005D1845">
        <w:rPr>
          <w:i/>
          <w:sz w:val="22"/>
          <w:lang w:val="es-BO"/>
        </w:rPr>
        <w:t>Fondo Monetario Internacional</w:t>
      </w:r>
      <w:r w:rsidR="00F826D6" w:rsidRPr="005D1845">
        <w:rPr>
          <w:sz w:val="22"/>
          <w:lang w:val="es-BO"/>
        </w:rPr>
        <w:t xml:space="preserve">, </w:t>
      </w:r>
      <w:r w:rsidR="00376BC6" w:rsidRPr="005D1845">
        <w:rPr>
          <w:sz w:val="22"/>
          <w:lang w:val="es-BO"/>
        </w:rPr>
        <w:t xml:space="preserve">Doc. </w:t>
      </w:r>
      <w:r w:rsidR="0070015B" w:rsidRPr="005D1845">
        <w:rPr>
          <w:sz w:val="22"/>
          <w:lang w:val="es-BO"/>
        </w:rPr>
        <w:t>No 855</w:t>
      </w:r>
      <w:r w:rsidR="00376BC6" w:rsidRPr="005D1845">
        <w:rPr>
          <w:sz w:val="22"/>
          <w:lang w:val="es-BO"/>
        </w:rPr>
        <w:t xml:space="preserve">. </w:t>
      </w:r>
    </w:p>
    <w:p w14:paraId="27169697" w14:textId="2EE79DD6" w:rsidR="00096C84" w:rsidRPr="005D1845" w:rsidRDefault="00096C84" w:rsidP="0031372E">
      <w:pPr>
        <w:spacing w:after="0" w:line="240" w:lineRule="auto"/>
        <w:ind w:left="0" w:right="530" w:firstLine="0"/>
        <w:rPr>
          <w:sz w:val="22"/>
          <w:lang w:val="es-BO"/>
        </w:rPr>
      </w:pPr>
    </w:p>
    <w:p w14:paraId="50A3AC8A" w14:textId="2087379E" w:rsidR="007C7DC2" w:rsidRPr="005D1845" w:rsidRDefault="007C7DC2" w:rsidP="00096C84">
      <w:pPr>
        <w:spacing w:after="0" w:line="240" w:lineRule="auto"/>
        <w:ind w:left="45" w:right="527" w:hanging="11"/>
        <w:rPr>
          <w:sz w:val="22"/>
          <w:lang w:val="es-BO"/>
        </w:rPr>
      </w:pPr>
      <w:r w:rsidRPr="005D1845">
        <w:rPr>
          <w:sz w:val="22"/>
          <w:lang w:val="es-BO"/>
        </w:rPr>
        <w:t>B</w:t>
      </w:r>
      <w:r w:rsidR="001621FB" w:rsidRPr="005D1845">
        <w:rPr>
          <w:sz w:val="22"/>
          <w:lang w:val="es-BO"/>
        </w:rPr>
        <w:t>enavides, G</w:t>
      </w:r>
      <w:r w:rsidRPr="005D1845">
        <w:rPr>
          <w:sz w:val="22"/>
          <w:lang w:val="es-BO"/>
        </w:rPr>
        <w:t>. y C</w:t>
      </w:r>
      <w:r w:rsidR="006426FC" w:rsidRPr="005D1845">
        <w:rPr>
          <w:sz w:val="22"/>
          <w:lang w:val="es-BO"/>
        </w:rPr>
        <w:t>apist</w:t>
      </w:r>
      <w:r w:rsidR="001621FB" w:rsidRPr="005D1845">
        <w:rPr>
          <w:sz w:val="22"/>
          <w:lang w:val="es-BO"/>
        </w:rPr>
        <w:t>rán, C</w:t>
      </w:r>
      <w:r w:rsidR="00F826D6" w:rsidRPr="005D1845">
        <w:rPr>
          <w:sz w:val="22"/>
          <w:lang w:val="es-BO"/>
        </w:rPr>
        <w:t>. (2009).</w:t>
      </w:r>
      <w:r w:rsidR="00376BC6" w:rsidRPr="005D1845">
        <w:rPr>
          <w:sz w:val="22"/>
          <w:lang w:val="es-BO"/>
        </w:rPr>
        <w:t xml:space="preserve"> “Una nota sobre las volatilidades de la tasa de interés y del tipo de cambio según diferentes instrumentos</w:t>
      </w:r>
      <w:r w:rsidRPr="005D1845">
        <w:rPr>
          <w:sz w:val="22"/>
          <w:lang w:val="es-BO"/>
        </w:rPr>
        <w:t xml:space="preserve"> de política monetaria: México,</w:t>
      </w:r>
    </w:p>
    <w:p w14:paraId="321F1582" w14:textId="75A3C85B" w:rsidR="00376BC6" w:rsidRPr="005D1845" w:rsidRDefault="00376BC6" w:rsidP="00096C84">
      <w:pPr>
        <w:spacing w:after="0" w:line="240" w:lineRule="auto"/>
        <w:ind w:left="45" w:right="527" w:hanging="11"/>
        <w:rPr>
          <w:sz w:val="22"/>
          <w:lang w:val="es-BO"/>
        </w:rPr>
      </w:pPr>
      <w:r w:rsidRPr="005D1845">
        <w:rPr>
          <w:sz w:val="22"/>
          <w:lang w:val="es-BO"/>
        </w:rPr>
        <w:t>1998-2008”, Banco de México</w:t>
      </w:r>
      <w:r w:rsidR="001621FB" w:rsidRPr="005D1845">
        <w:rPr>
          <w:sz w:val="22"/>
          <w:lang w:val="es-BO"/>
        </w:rPr>
        <w:t>, Documento de Investigación pp.</w:t>
      </w:r>
      <w:r w:rsidRPr="005D1845">
        <w:rPr>
          <w:sz w:val="22"/>
          <w:lang w:val="es-BO"/>
        </w:rPr>
        <w:t xml:space="preserve"> 2009-10. </w:t>
      </w:r>
    </w:p>
    <w:p w14:paraId="07E3B267" w14:textId="77777777" w:rsidR="0031372E" w:rsidRPr="005D1845" w:rsidRDefault="0031372E" w:rsidP="0031372E">
      <w:pPr>
        <w:spacing w:after="0" w:line="240" w:lineRule="auto"/>
        <w:ind w:left="45" w:right="530"/>
        <w:rPr>
          <w:sz w:val="22"/>
          <w:lang w:val="es-BO"/>
        </w:rPr>
      </w:pPr>
    </w:p>
    <w:p w14:paraId="11CADC19" w14:textId="64B4D1DB" w:rsidR="0031372E" w:rsidRPr="005D1845" w:rsidRDefault="0031372E" w:rsidP="0031372E">
      <w:pPr>
        <w:spacing w:after="0" w:line="240" w:lineRule="auto"/>
        <w:ind w:left="45" w:right="530"/>
        <w:rPr>
          <w:sz w:val="22"/>
        </w:rPr>
      </w:pPr>
      <w:r w:rsidRPr="005D1845">
        <w:rPr>
          <w:sz w:val="22"/>
        </w:rPr>
        <w:t xml:space="preserve">Bofinger P. y T. Wollmershaeuser (2001). “Managed Floating: Understanding the New International Monetary Order”, Discussion Paper 3064. </w:t>
      </w:r>
    </w:p>
    <w:p w14:paraId="274A35FC" w14:textId="77777777" w:rsidR="00812768" w:rsidRPr="005D1845" w:rsidRDefault="00812768" w:rsidP="00096C84">
      <w:pPr>
        <w:spacing w:after="0" w:line="240" w:lineRule="auto"/>
        <w:ind w:left="45" w:right="527" w:hanging="11"/>
        <w:rPr>
          <w:sz w:val="22"/>
        </w:rPr>
      </w:pPr>
    </w:p>
    <w:p w14:paraId="7B35229E" w14:textId="1DC0EE8B" w:rsidR="0031372E" w:rsidRPr="005D1845" w:rsidRDefault="00F826D6" w:rsidP="00573D20">
      <w:pPr>
        <w:spacing w:after="0" w:line="240" w:lineRule="auto"/>
        <w:ind w:left="45" w:right="530"/>
        <w:rPr>
          <w:sz w:val="22"/>
        </w:rPr>
      </w:pPr>
      <w:r w:rsidRPr="005D1845">
        <w:rPr>
          <w:sz w:val="22"/>
        </w:rPr>
        <w:t>Bollerslev (1986).</w:t>
      </w:r>
      <w:r w:rsidR="002E6CEA" w:rsidRPr="005D1845">
        <w:rPr>
          <w:sz w:val="22"/>
        </w:rPr>
        <w:t xml:space="preserve"> </w:t>
      </w:r>
      <w:r w:rsidR="007C7DC2" w:rsidRPr="005D1845">
        <w:rPr>
          <w:sz w:val="22"/>
        </w:rPr>
        <w:t xml:space="preserve">“Generalized Autoregressive </w:t>
      </w:r>
      <w:r w:rsidR="00376BC6" w:rsidRPr="005D1845">
        <w:rPr>
          <w:sz w:val="22"/>
        </w:rPr>
        <w:t xml:space="preserve">Conditional </w:t>
      </w:r>
      <w:r w:rsidR="007C7DC2" w:rsidRPr="005D1845">
        <w:rPr>
          <w:sz w:val="22"/>
        </w:rPr>
        <w:t xml:space="preserve">Heteroskedasticity”, </w:t>
      </w:r>
      <w:r w:rsidR="007C7DC2" w:rsidRPr="005D1845">
        <w:rPr>
          <w:i/>
          <w:sz w:val="22"/>
        </w:rPr>
        <w:t>Journal of Econometrics</w:t>
      </w:r>
      <w:r w:rsidR="007C7DC2" w:rsidRPr="005D1845">
        <w:rPr>
          <w:sz w:val="22"/>
        </w:rPr>
        <w:t xml:space="preserve">, </w:t>
      </w:r>
      <w:r w:rsidR="0070015B" w:rsidRPr="005D1845">
        <w:rPr>
          <w:sz w:val="22"/>
        </w:rPr>
        <w:t xml:space="preserve">nro. </w:t>
      </w:r>
      <w:r w:rsidR="007C7DC2" w:rsidRPr="005D1845">
        <w:rPr>
          <w:sz w:val="22"/>
        </w:rPr>
        <w:t xml:space="preserve">31, </w:t>
      </w:r>
      <w:r w:rsidR="0070015B" w:rsidRPr="005D1845">
        <w:rPr>
          <w:sz w:val="22"/>
        </w:rPr>
        <w:t xml:space="preserve">pp. </w:t>
      </w:r>
      <w:r w:rsidR="007C7DC2" w:rsidRPr="005D1845">
        <w:rPr>
          <w:sz w:val="22"/>
        </w:rPr>
        <w:t xml:space="preserve">307-327. </w:t>
      </w:r>
    </w:p>
    <w:p w14:paraId="096AAE81" w14:textId="4BCFBA91" w:rsidR="0031372E" w:rsidRPr="005D1845" w:rsidRDefault="0031372E" w:rsidP="0031372E">
      <w:pPr>
        <w:spacing w:after="0" w:line="240" w:lineRule="auto"/>
        <w:ind w:left="45" w:right="530"/>
        <w:rPr>
          <w:sz w:val="22"/>
        </w:rPr>
      </w:pPr>
      <w:r w:rsidRPr="005D1845">
        <w:rPr>
          <w:sz w:val="22"/>
        </w:rPr>
        <w:t>Blanchard, O. J. y Fisher, (1989). “Lectures on Macroeconomics”: Cambrige MIT Press.</w:t>
      </w:r>
    </w:p>
    <w:p w14:paraId="5CB53053" w14:textId="77777777" w:rsidR="0031372E" w:rsidRPr="005D1845" w:rsidRDefault="0031372E" w:rsidP="0031372E">
      <w:pPr>
        <w:spacing w:after="0" w:line="240" w:lineRule="auto"/>
        <w:ind w:left="45" w:right="530"/>
        <w:rPr>
          <w:sz w:val="22"/>
        </w:rPr>
      </w:pPr>
    </w:p>
    <w:p w14:paraId="2E0BD976" w14:textId="77777777" w:rsidR="0031372E" w:rsidRPr="005D1845" w:rsidRDefault="0031372E" w:rsidP="0031372E">
      <w:pPr>
        <w:spacing w:after="0" w:line="240" w:lineRule="auto"/>
        <w:ind w:left="45" w:right="530"/>
        <w:rPr>
          <w:sz w:val="22"/>
        </w:rPr>
      </w:pPr>
      <w:r w:rsidRPr="005D1845">
        <w:rPr>
          <w:sz w:val="22"/>
          <w:lang w:val="es-BO"/>
        </w:rPr>
        <w:t xml:space="preserve">Blanchard, Olivier, y Jordi Galí (2005). </w:t>
      </w:r>
      <w:r w:rsidRPr="005D1845">
        <w:rPr>
          <w:sz w:val="22"/>
        </w:rPr>
        <w:t>“Real Wage Rigidities and the New Keynesian Model”, NBER Working Papers, núm. 11, Massachusetts, NBER, Noviembre, pp. 1-36.</w:t>
      </w:r>
    </w:p>
    <w:p w14:paraId="2A356A1E" w14:textId="26D45AD8" w:rsidR="00096C84" w:rsidRPr="005D1845" w:rsidRDefault="00096C84" w:rsidP="0031372E">
      <w:pPr>
        <w:spacing w:after="0" w:line="240" w:lineRule="auto"/>
        <w:ind w:left="0" w:right="530" w:firstLine="0"/>
        <w:rPr>
          <w:sz w:val="22"/>
        </w:rPr>
      </w:pPr>
    </w:p>
    <w:p w14:paraId="5279E10E" w14:textId="6C33A842" w:rsidR="00EB2815" w:rsidRPr="005D1845" w:rsidRDefault="00EE684F" w:rsidP="00096C84">
      <w:pPr>
        <w:spacing w:after="0" w:line="240" w:lineRule="auto"/>
        <w:ind w:left="45" w:right="530"/>
        <w:rPr>
          <w:sz w:val="22"/>
          <w:lang w:val="es-BO"/>
        </w:rPr>
      </w:pPr>
      <w:r w:rsidRPr="005D1845">
        <w:rPr>
          <w:sz w:val="22"/>
          <w:lang w:val="es-BO"/>
        </w:rPr>
        <w:t>B</w:t>
      </w:r>
      <w:r w:rsidR="00F826D6" w:rsidRPr="005D1845">
        <w:rPr>
          <w:sz w:val="22"/>
          <w:lang w:val="es-BO"/>
        </w:rPr>
        <w:t xml:space="preserve">resser, L. y Nakano, C. (2002). </w:t>
      </w:r>
      <w:r w:rsidRPr="005D1845">
        <w:rPr>
          <w:sz w:val="22"/>
          <w:lang w:val="es-BO"/>
        </w:rPr>
        <w:t>“Uma Estratégia de Desenvolvimento com Estabilidade”. </w:t>
      </w:r>
      <w:r w:rsidRPr="005D1845">
        <w:rPr>
          <w:bCs/>
          <w:i/>
          <w:sz w:val="22"/>
          <w:lang w:val="es-BO"/>
        </w:rPr>
        <w:t>Revista de Economía Política</w:t>
      </w:r>
      <w:r w:rsidRPr="005D1845">
        <w:rPr>
          <w:sz w:val="22"/>
          <w:lang w:val="es-BO"/>
        </w:rPr>
        <w:t xml:space="preserve">, v. 22, n. 3, </w:t>
      </w:r>
      <w:r w:rsidR="0070015B" w:rsidRPr="005D1845">
        <w:rPr>
          <w:sz w:val="22"/>
          <w:lang w:val="es-BO"/>
        </w:rPr>
        <w:t>pp. 146-180</w:t>
      </w:r>
      <w:r w:rsidRPr="005D1845">
        <w:rPr>
          <w:sz w:val="22"/>
          <w:lang w:val="es-BO"/>
        </w:rPr>
        <w:t>.</w:t>
      </w:r>
    </w:p>
    <w:p w14:paraId="23513EE5" w14:textId="77777777" w:rsidR="00096C84" w:rsidRPr="005D1845" w:rsidRDefault="00096C84" w:rsidP="00096C84">
      <w:pPr>
        <w:spacing w:after="0" w:line="240" w:lineRule="auto"/>
        <w:ind w:left="45" w:right="530"/>
        <w:rPr>
          <w:sz w:val="22"/>
          <w:lang w:val="es-BO"/>
        </w:rPr>
      </w:pPr>
    </w:p>
    <w:p w14:paraId="01DF26FD" w14:textId="02C88F67" w:rsidR="00376BC6" w:rsidRPr="00F45D6D" w:rsidRDefault="007C7DC2" w:rsidP="00096C84">
      <w:pPr>
        <w:spacing w:after="0" w:line="240" w:lineRule="auto"/>
        <w:ind w:left="395" w:right="530" w:hanging="360"/>
        <w:rPr>
          <w:sz w:val="22"/>
        </w:rPr>
      </w:pPr>
      <w:r w:rsidRPr="00F45D6D">
        <w:rPr>
          <w:sz w:val="22"/>
        </w:rPr>
        <w:t>Brooks, C</w:t>
      </w:r>
      <w:r w:rsidR="001030CA" w:rsidRPr="00F45D6D">
        <w:rPr>
          <w:sz w:val="22"/>
        </w:rPr>
        <w:t>. (2002).</w:t>
      </w:r>
      <w:r w:rsidR="00376BC6" w:rsidRPr="00F45D6D">
        <w:rPr>
          <w:sz w:val="22"/>
        </w:rPr>
        <w:t xml:space="preserve"> </w:t>
      </w:r>
      <w:r w:rsidR="00812768" w:rsidRPr="00F45D6D">
        <w:rPr>
          <w:i/>
          <w:sz w:val="22"/>
        </w:rPr>
        <w:t>Introductory Econometrics for F</w:t>
      </w:r>
      <w:r w:rsidR="00376BC6" w:rsidRPr="00F45D6D">
        <w:rPr>
          <w:i/>
          <w:sz w:val="22"/>
        </w:rPr>
        <w:t>inance</w:t>
      </w:r>
      <w:r w:rsidR="00376BC6" w:rsidRPr="00F45D6D">
        <w:rPr>
          <w:sz w:val="22"/>
        </w:rPr>
        <w:t xml:space="preserve">, Cambridge University Press.  </w:t>
      </w:r>
    </w:p>
    <w:p w14:paraId="5EAE1715" w14:textId="77777777" w:rsidR="00096C84" w:rsidRPr="00F45D6D" w:rsidRDefault="00096C84" w:rsidP="00096C84">
      <w:pPr>
        <w:spacing w:after="0" w:line="240" w:lineRule="auto"/>
        <w:ind w:left="395" w:right="530" w:hanging="360"/>
        <w:rPr>
          <w:sz w:val="22"/>
        </w:rPr>
      </w:pPr>
    </w:p>
    <w:p w14:paraId="68E77832" w14:textId="45E0663B" w:rsidR="00376BC6" w:rsidRPr="005D1845" w:rsidRDefault="007C7DC2" w:rsidP="00096C84">
      <w:pPr>
        <w:spacing w:after="0" w:line="240" w:lineRule="auto"/>
        <w:ind w:left="45" w:right="530"/>
        <w:rPr>
          <w:sz w:val="22"/>
        </w:rPr>
      </w:pPr>
      <w:r w:rsidRPr="00F45D6D">
        <w:rPr>
          <w:sz w:val="22"/>
        </w:rPr>
        <w:t>Brunn</w:t>
      </w:r>
      <w:r w:rsidR="00F826D6" w:rsidRPr="00F45D6D">
        <w:rPr>
          <w:sz w:val="22"/>
        </w:rPr>
        <w:t>er, K.; Fratianni, M.; Jordan, J.; Meltzer, A</w:t>
      </w:r>
      <w:r w:rsidRPr="00F45D6D">
        <w:rPr>
          <w:sz w:val="22"/>
        </w:rPr>
        <w:t>. y N</w:t>
      </w:r>
      <w:r w:rsidR="006426FC" w:rsidRPr="00F45D6D">
        <w:rPr>
          <w:sz w:val="22"/>
        </w:rPr>
        <w:t>eumann</w:t>
      </w:r>
      <w:r w:rsidR="00376BC6" w:rsidRPr="00F45D6D">
        <w:rPr>
          <w:sz w:val="22"/>
        </w:rPr>
        <w:t xml:space="preserve">, M. J. </w:t>
      </w:r>
      <w:r w:rsidRPr="00F45D6D">
        <w:rPr>
          <w:sz w:val="22"/>
        </w:rPr>
        <w:t>M. (1973)</w:t>
      </w:r>
      <w:r w:rsidR="00F826D6" w:rsidRPr="00F45D6D">
        <w:rPr>
          <w:sz w:val="22"/>
        </w:rPr>
        <w:t>.</w:t>
      </w:r>
      <w:r w:rsidRPr="00F45D6D">
        <w:rPr>
          <w:sz w:val="22"/>
        </w:rPr>
        <w:t xml:space="preserve"> </w:t>
      </w:r>
      <w:r w:rsidRPr="005D1845">
        <w:rPr>
          <w:sz w:val="22"/>
        </w:rPr>
        <w:t>“Fiscal and monetary p</w:t>
      </w:r>
      <w:r w:rsidR="00EB2815" w:rsidRPr="005D1845">
        <w:rPr>
          <w:sz w:val="22"/>
        </w:rPr>
        <w:t>olicies in moderate inflation: C</w:t>
      </w:r>
      <w:r w:rsidRPr="005D1845">
        <w:rPr>
          <w:sz w:val="22"/>
        </w:rPr>
        <w:t xml:space="preserve">ase studies of three countries” en </w:t>
      </w:r>
      <w:r w:rsidRPr="005D1845">
        <w:rPr>
          <w:i/>
          <w:sz w:val="22"/>
        </w:rPr>
        <w:t xml:space="preserve">Journal of Money, Credit and Banking </w:t>
      </w:r>
      <w:r w:rsidR="001621FB" w:rsidRPr="005D1845">
        <w:rPr>
          <w:sz w:val="22"/>
        </w:rPr>
        <w:t>(Ohio) pp.</w:t>
      </w:r>
      <w:r w:rsidRPr="005D1845">
        <w:rPr>
          <w:sz w:val="22"/>
        </w:rPr>
        <w:t xml:space="preserve"> 5. </w:t>
      </w:r>
    </w:p>
    <w:p w14:paraId="2D045487" w14:textId="6C7626DF" w:rsidR="008D6B97" w:rsidRPr="005D1845" w:rsidRDefault="008D6B97" w:rsidP="00096C84">
      <w:pPr>
        <w:spacing w:after="0" w:line="240" w:lineRule="auto"/>
        <w:ind w:left="45" w:right="530"/>
        <w:rPr>
          <w:sz w:val="22"/>
        </w:rPr>
      </w:pPr>
    </w:p>
    <w:p w14:paraId="059AF7C3" w14:textId="58862871" w:rsidR="00EB2815" w:rsidRPr="005D1845" w:rsidRDefault="008D6B97" w:rsidP="00F826D6">
      <w:pPr>
        <w:spacing w:after="0" w:line="240" w:lineRule="auto"/>
        <w:ind w:left="45" w:right="527" w:hanging="11"/>
        <w:rPr>
          <w:sz w:val="22"/>
        </w:rPr>
      </w:pPr>
      <w:r w:rsidRPr="005D1845">
        <w:rPr>
          <w:sz w:val="22"/>
          <w:lang w:val="es-BO"/>
        </w:rPr>
        <w:t xml:space="preserve">Blinder, A. y R. Reis (2005). </w:t>
      </w:r>
      <w:r w:rsidRPr="005D1845">
        <w:rPr>
          <w:sz w:val="22"/>
        </w:rPr>
        <w:t>“Understanding the Greenspan Standard.” The Greenspan Era: Lessons for the Future, Federal Reserve Bank of Kansas City, Jackson Hole, Wyoming.</w:t>
      </w:r>
    </w:p>
    <w:p w14:paraId="2DCA6C77" w14:textId="77777777" w:rsidR="000F3953" w:rsidRPr="005D1845" w:rsidRDefault="000F3953" w:rsidP="00F826D6">
      <w:pPr>
        <w:spacing w:after="0" w:line="240" w:lineRule="auto"/>
        <w:ind w:left="45" w:right="527" w:hanging="11"/>
        <w:rPr>
          <w:sz w:val="22"/>
        </w:rPr>
      </w:pPr>
    </w:p>
    <w:p w14:paraId="361D3784" w14:textId="19E78F9B" w:rsidR="001A7FCE" w:rsidRPr="005D1845" w:rsidRDefault="001A7FCE" w:rsidP="001A7FCE">
      <w:pPr>
        <w:spacing w:after="0" w:line="240" w:lineRule="auto"/>
        <w:ind w:left="50" w:right="527" w:firstLine="0"/>
        <w:rPr>
          <w:sz w:val="22"/>
        </w:rPr>
      </w:pPr>
      <w:r w:rsidRPr="005D1845">
        <w:rPr>
          <w:sz w:val="22"/>
          <w:lang w:val="es-BO"/>
        </w:rPr>
        <w:t xml:space="preserve">Capistrán, C. y M. Torres Francia (2012). </w:t>
      </w:r>
      <w:r w:rsidRPr="005D1845">
        <w:rPr>
          <w:sz w:val="22"/>
        </w:rPr>
        <w:t>“Exchange rate Pass-Through to Prices: Evidence from Mexico” Working paper 2011-2012, Banco de México.</w:t>
      </w:r>
    </w:p>
    <w:p w14:paraId="6E457B1A" w14:textId="08001363" w:rsidR="001A7FCE" w:rsidRPr="005D1845" w:rsidRDefault="001A7FCE" w:rsidP="001A7FCE">
      <w:pPr>
        <w:spacing w:after="0" w:line="240" w:lineRule="auto"/>
        <w:ind w:left="50" w:right="527" w:firstLine="0"/>
        <w:rPr>
          <w:sz w:val="22"/>
        </w:rPr>
      </w:pPr>
      <w:r w:rsidRPr="005D1845">
        <w:rPr>
          <w:sz w:val="22"/>
        </w:rPr>
        <w:t xml:space="preserve"> </w:t>
      </w:r>
    </w:p>
    <w:p w14:paraId="5D0132A0" w14:textId="241C491E" w:rsidR="00EB2815" w:rsidRPr="005D1845" w:rsidRDefault="00EB2815" w:rsidP="00096C84">
      <w:pPr>
        <w:spacing w:after="0" w:line="240" w:lineRule="auto"/>
        <w:ind w:left="50" w:right="527" w:firstLine="0"/>
        <w:rPr>
          <w:sz w:val="22"/>
          <w:lang w:val="es-BO"/>
        </w:rPr>
      </w:pPr>
      <w:r w:rsidRPr="005D1845">
        <w:rPr>
          <w:sz w:val="22"/>
          <w:lang w:val="es-BO"/>
        </w:rPr>
        <w:t>Carstens, A. G. y Alejandro M. Werner (1999). “Mexico´s Mon</w:t>
      </w:r>
      <w:r w:rsidR="00596253" w:rsidRPr="005D1845">
        <w:rPr>
          <w:sz w:val="22"/>
          <w:lang w:val="es-BO"/>
        </w:rPr>
        <w:t xml:space="preserve">etary Policy Framework under a </w:t>
      </w:r>
      <w:r w:rsidRPr="005D1845">
        <w:rPr>
          <w:sz w:val="22"/>
          <w:lang w:val="es-BO"/>
        </w:rPr>
        <w:t>Floating  Exchange  Rate  Regimen”,  Documento  de  Investigación  No. 9905, Banco de México, pp. 1-52.</w:t>
      </w:r>
    </w:p>
    <w:p w14:paraId="12FB1087" w14:textId="3908C779" w:rsidR="007C7DC2" w:rsidRPr="005D1845" w:rsidRDefault="00EB2815" w:rsidP="00096C84">
      <w:pPr>
        <w:spacing w:after="0" w:line="240" w:lineRule="auto"/>
        <w:ind w:left="45" w:right="527" w:hanging="11"/>
        <w:rPr>
          <w:sz w:val="22"/>
          <w:lang w:val="es-BO"/>
        </w:rPr>
      </w:pPr>
      <w:r w:rsidRPr="005D1845">
        <w:rPr>
          <w:sz w:val="22"/>
          <w:lang w:val="es-BO"/>
        </w:rPr>
        <w:t xml:space="preserve"> </w:t>
      </w:r>
    </w:p>
    <w:p w14:paraId="5C44FE05" w14:textId="0A401CBF" w:rsidR="00EB2815" w:rsidRPr="005D1845" w:rsidRDefault="001621FB" w:rsidP="00096C84">
      <w:pPr>
        <w:spacing w:after="0" w:line="240" w:lineRule="auto"/>
        <w:ind w:left="45" w:right="530"/>
        <w:rPr>
          <w:sz w:val="22"/>
        </w:rPr>
      </w:pPr>
      <w:r w:rsidRPr="005D1845">
        <w:rPr>
          <w:sz w:val="22"/>
          <w:lang w:val="es-BO"/>
        </w:rPr>
        <w:t>Calvo, G., A. Izquierdo y</w:t>
      </w:r>
      <w:r w:rsidR="007C7DC2" w:rsidRPr="005D1845">
        <w:rPr>
          <w:sz w:val="22"/>
          <w:lang w:val="es-BO"/>
        </w:rPr>
        <w:t xml:space="preserve"> l. M</w:t>
      </w:r>
      <w:r w:rsidR="006426FC" w:rsidRPr="005D1845">
        <w:rPr>
          <w:sz w:val="22"/>
          <w:lang w:val="es-BO"/>
        </w:rPr>
        <w:t>ejia</w:t>
      </w:r>
      <w:r w:rsidR="00F826D6" w:rsidRPr="005D1845">
        <w:rPr>
          <w:sz w:val="22"/>
          <w:lang w:val="es-BO"/>
        </w:rPr>
        <w:t xml:space="preserve"> (2004).</w:t>
      </w:r>
      <w:r w:rsidR="00376BC6" w:rsidRPr="005D1845">
        <w:rPr>
          <w:sz w:val="22"/>
          <w:lang w:val="es-BO"/>
        </w:rPr>
        <w:t xml:space="preserve"> </w:t>
      </w:r>
      <w:r w:rsidR="00376BC6" w:rsidRPr="005D1845">
        <w:rPr>
          <w:sz w:val="22"/>
        </w:rPr>
        <w:t xml:space="preserve">“On the Empirics of Sudden Stop: The Relevance of Balance-Sheet Effects,” </w:t>
      </w:r>
      <w:r w:rsidR="00EB2815" w:rsidRPr="005D1845">
        <w:rPr>
          <w:sz w:val="22"/>
        </w:rPr>
        <w:t>NBER, Septiembre, pp. 1-36.</w:t>
      </w:r>
    </w:p>
    <w:p w14:paraId="2CEF713A" w14:textId="77777777" w:rsidR="00EB2815" w:rsidRPr="005D1845" w:rsidRDefault="00EB2815" w:rsidP="00096C84">
      <w:pPr>
        <w:spacing w:after="0" w:line="240" w:lineRule="auto"/>
        <w:ind w:left="45" w:right="530"/>
        <w:rPr>
          <w:sz w:val="22"/>
        </w:rPr>
      </w:pPr>
    </w:p>
    <w:p w14:paraId="1BE0B841" w14:textId="3C576FE3" w:rsidR="00096C84" w:rsidRPr="005D1845" w:rsidRDefault="007C7DC2" w:rsidP="00096C84">
      <w:pPr>
        <w:spacing w:after="0" w:line="240" w:lineRule="auto"/>
        <w:ind w:left="45" w:right="530"/>
        <w:rPr>
          <w:sz w:val="22"/>
        </w:rPr>
      </w:pPr>
      <w:r w:rsidRPr="005D1845">
        <w:rPr>
          <w:sz w:val="22"/>
          <w:lang w:val="es-BO"/>
        </w:rPr>
        <w:t>Calvo, G. y C. R</w:t>
      </w:r>
      <w:r w:rsidR="0070015B" w:rsidRPr="005D1845">
        <w:rPr>
          <w:sz w:val="22"/>
          <w:lang w:val="es-BO"/>
        </w:rPr>
        <w:t>einhart (2000).</w:t>
      </w:r>
      <w:r w:rsidR="003E41F4" w:rsidRPr="005D1845">
        <w:rPr>
          <w:sz w:val="22"/>
          <w:lang w:val="es-BO"/>
        </w:rPr>
        <w:t xml:space="preserve"> </w:t>
      </w:r>
      <w:r w:rsidR="003E41F4" w:rsidRPr="005D1845">
        <w:rPr>
          <w:sz w:val="22"/>
        </w:rPr>
        <w:t>“W</w:t>
      </w:r>
      <w:r w:rsidR="00F826D6" w:rsidRPr="005D1845">
        <w:rPr>
          <w:sz w:val="22"/>
        </w:rPr>
        <w:t>hen Capital Flows Come to a Sudden S</w:t>
      </w:r>
      <w:r w:rsidR="006426FC" w:rsidRPr="005D1845">
        <w:rPr>
          <w:sz w:val="22"/>
        </w:rPr>
        <w:t>top</w:t>
      </w:r>
      <w:r w:rsidR="00F826D6" w:rsidRPr="005D1845">
        <w:rPr>
          <w:sz w:val="22"/>
        </w:rPr>
        <w:t>: Consequences and P</w:t>
      </w:r>
      <w:r w:rsidR="00D25CD3" w:rsidRPr="005D1845">
        <w:rPr>
          <w:sz w:val="22"/>
        </w:rPr>
        <w:t xml:space="preserve">olicy,” </w:t>
      </w:r>
      <w:r w:rsidR="00813585" w:rsidRPr="005D1845">
        <w:rPr>
          <w:sz w:val="22"/>
        </w:rPr>
        <w:t>en</w:t>
      </w:r>
      <w:r w:rsidR="00F826D6" w:rsidRPr="005D1845">
        <w:rPr>
          <w:sz w:val="22"/>
        </w:rPr>
        <w:t xml:space="preserve"> Peter B. Kenen y</w:t>
      </w:r>
      <w:r w:rsidR="00D25CD3" w:rsidRPr="005D1845">
        <w:rPr>
          <w:sz w:val="22"/>
        </w:rPr>
        <w:t xml:space="preserve"> A. Swoboda, eds., Reforming the I</w:t>
      </w:r>
      <w:r w:rsidR="006426FC" w:rsidRPr="005D1845">
        <w:rPr>
          <w:sz w:val="22"/>
        </w:rPr>
        <w:t xml:space="preserve">nternational </w:t>
      </w:r>
      <w:r w:rsidR="00D25CD3" w:rsidRPr="005D1845">
        <w:rPr>
          <w:sz w:val="22"/>
        </w:rPr>
        <w:t>Monetary and F</w:t>
      </w:r>
      <w:r w:rsidR="00FB1B81" w:rsidRPr="005D1845">
        <w:rPr>
          <w:sz w:val="22"/>
        </w:rPr>
        <w:t xml:space="preserve">inancial </w:t>
      </w:r>
      <w:r w:rsidR="00D25CD3" w:rsidRPr="005D1845">
        <w:rPr>
          <w:sz w:val="22"/>
        </w:rPr>
        <w:t>S</w:t>
      </w:r>
      <w:r w:rsidR="00FB1B81" w:rsidRPr="005D1845">
        <w:rPr>
          <w:sz w:val="22"/>
        </w:rPr>
        <w:t>ystem</w:t>
      </w:r>
      <w:r w:rsidR="006426FC" w:rsidRPr="005D1845">
        <w:rPr>
          <w:sz w:val="22"/>
        </w:rPr>
        <w:t>.</w:t>
      </w:r>
    </w:p>
    <w:p w14:paraId="0C9CB782" w14:textId="3DBD227C" w:rsidR="00376BC6" w:rsidRPr="005D1845" w:rsidRDefault="006426FC" w:rsidP="00096C84">
      <w:pPr>
        <w:spacing w:after="0" w:line="240" w:lineRule="auto"/>
        <w:ind w:left="45" w:right="530"/>
        <w:rPr>
          <w:sz w:val="22"/>
        </w:rPr>
      </w:pPr>
      <w:r w:rsidRPr="005D1845">
        <w:rPr>
          <w:sz w:val="22"/>
        </w:rPr>
        <w:t xml:space="preserve"> </w:t>
      </w:r>
    </w:p>
    <w:p w14:paraId="62E3D570" w14:textId="6396943F" w:rsidR="00F84EA8" w:rsidRPr="005D1845" w:rsidRDefault="007C7DC2" w:rsidP="00F84EA8">
      <w:pPr>
        <w:spacing w:after="0" w:line="240" w:lineRule="auto"/>
        <w:ind w:left="45" w:right="530"/>
        <w:rPr>
          <w:sz w:val="22"/>
        </w:rPr>
      </w:pPr>
      <w:r w:rsidRPr="005D1845">
        <w:rPr>
          <w:sz w:val="22"/>
          <w:lang w:val="es-BO"/>
        </w:rPr>
        <w:t>Calvo, G. y C. R</w:t>
      </w:r>
      <w:r w:rsidR="00F826D6" w:rsidRPr="005D1845">
        <w:rPr>
          <w:sz w:val="22"/>
          <w:lang w:val="es-BO"/>
        </w:rPr>
        <w:t>einhart (2002).</w:t>
      </w:r>
      <w:r w:rsidR="003E41F4" w:rsidRPr="005D1845">
        <w:rPr>
          <w:sz w:val="22"/>
          <w:lang w:val="es-BO"/>
        </w:rPr>
        <w:t xml:space="preserve"> </w:t>
      </w:r>
      <w:r w:rsidR="003E41F4" w:rsidRPr="005D1845">
        <w:rPr>
          <w:sz w:val="22"/>
        </w:rPr>
        <w:t>“F</w:t>
      </w:r>
      <w:r w:rsidR="006426FC" w:rsidRPr="005D1845">
        <w:rPr>
          <w:sz w:val="22"/>
        </w:rPr>
        <w:t xml:space="preserve">ear of floating” </w:t>
      </w:r>
      <w:r w:rsidR="00FB1B81" w:rsidRPr="005D1845">
        <w:rPr>
          <w:i/>
          <w:sz w:val="22"/>
        </w:rPr>
        <w:t>Quarterly Journal of E</w:t>
      </w:r>
      <w:r w:rsidR="006426FC" w:rsidRPr="005D1845">
        <w:rPr>
          <w:i/>
          <w:sz w:val="22"/>
        </w:rPr>
        <w:t>conomics</w:t>
      </w:r>
      <w:r w:rsidR="006426FC" w:rsidRPr="005D1845">
        <w:rPr>
          <w:sz w:val="22"/>
        </w:rPr>
        <w:t xml:space="preserve"> 117(2):</w:t>
      </w:r>
      <w:r w:rsidR="00F826D6" w:rsidRPr="005D1845">
        <w:rPr>
          <w:sz w:val="22"/>
        </w:rPr>
        <w:t xml:space="preserve"> pp. </w:t>
      </w:r>
      <w:r w:rsidR="006426FC" w:rsidRPr="005D1845">
        <w:rPr>
          <w:sz w:val="22"/>
        </w:rPr>
        <w:t xml:space="preserve">379-408. </w:t>
      </w:r>
    </w:p>
    <w:p w14:paraId="452F8268" w14:textId="662BF86C" w:rsidR="00096C84" w:rsidRPr="005D1845" w:rsidRDefault="00096C84" w:rsidP="00096C84">
      <w:pPr>
        <w:spacing w:after="0" w:line="240" w:lineRule="auto"/>
        <w:ind w:left="45" w:right="530"/>
        <w:rPr>
          <w:sz w:val="22"/>
        </w:rPr>
      </w:pPr>
    </w:p>
    <w:p w14:paraId="5F93F2E8" w14:textId="5CDCF178" w:rsidR="00376BC6" w:rsidRPr="005D1845" w:rsidRDefault="007C7DC2" w:rsidP="00096C84">
      <w:pPr>
        <w:spacing w:after="0" w:line="240" w:lineRule="auto"/>
        <w:ind w:left="45" w:right="530"/>
        <w:rPr>
          <w:sz w:val="22"/>
        </w:rPr>
      </w:pPr>
      <w:r w:rsidRPr="005D1845">
        <w:rPr>
          <w:sz w:val="22"/>
          <w:lang w:val="es-BO"/>
        </w:rPr>
        <w:t>Calvo, G. y F. M</w:t>
      </w:r>
      <w:r w:rsidR="006426FC" w:rsidRPr="005D1845">
        <w:rPr>
          <w:sz w:val="22"/>
          <w:lang w:val="es-BO"/>
        </w:rPr>
        <w:t>ishk</w:t>
      </w:r>
      <w:r w:rsidR="00F826D6" w:rsidRPr="005D1845">
        <w:rPr>
          <w:sz w:val="22"/>
          <w:lang w:val="es-BO"/>
        </w:rPr>
        <w:t>in (2003).</w:t>
      </w:r>
      <w:r w:rsidR="003E41F4" w:rsidRPr="005D1845">
        <w:rPr>
          <w:sz w:val="22"/>
          <w:lang w:val="es-BO"/>
        </w:rPr>
        <w:t xml:space="preserve"> </w:t>
      </w:r>
      <w:r w:rsidR="003E41F4" w:rsidRPr="005D1845">
        <w:rPr>
          <w:sz w:val="22"/>
        </w:rPr>
        <w:t>“T</w:t>
      </w:r>
      <w:r w:rsidR="00EB2815" w:rsidRPr="005D1845">
        <w:rPr>
          <w:sz w:val="22"/>
        </w:rPr>
        <w:t>he Mirage of Exchange Rate Regimes for Emerging Market C</w:t>
      </w:r>
      <w:r w:rsidR="006426FC" w:rsidRPr="005D1845">
        <w:rPr>
          <w:sz w:val="22"/>
        </w:rPr>
        <w:t>ountr</w:t>
      </w:r>
      <w:r w:rsidR="00D25CD3" w:rsidRPr="005D1845">
        <w:rPr>
          <w:sz w:val="22"/>
        </w:rPr>
        <w:t xml:space="preserve">ies”, </w:t>
      </w:r>
      <w:r w:rsidR="00D25CD3" w:rsidRPr="005D1845">
        <w:rPr>
          <w:i/>
          <w:sz w:val="22"/>
        </w:rPr>
        <w:t>National Bureau of Economic R</w:t>
      </w:r>
      <w:r w:rsidR="00FB1B81" w:rsidRPr="005D1845">
        <w:rPr>
          <w:i/>
          <w:sz w:val="22"/>
        </w:rPr>
        <w:t>esearch</w:t>
      </w:r>
      <w:r w:rsidR="00FB1B81" w:rsidRPr="005D1845">
        <w:rPr>
          <w:sz w:val="22"/>
        </w:rPr>
        <w:t xml:space="preserve"> (NBER</w:t>
      </w:r>
      <w:r w:rsidR="0070015B" w:rsidRPr="005D1845">
        <w:rPr>
          <w:sz w:val="22"/>
        </w:rPr>
        <w:t>) working paper núm. 98</w:t>
      </w:r>
      <w:r w:rsidR="006426FC" w:rsidRPr="005D1845">
        <w:rPr>
          <w:sz w:val="22"/>
        </w:rPr>
        <w:t xml:space="preserve">. </w:t>
      </w:r>
    </w:p>
    <w:p w14:paraId="0D7DFA51" w14:textId="77777777" w:rsidR="00096C84" w:rsidRPr="005D1845" w:rsidRDefault="00096C84" w:rsidP="00096C84">
      <w:pPr>
        <w:spacing w:after="0" w:line="240" w:lineRule="auto"/>
        <w:ind w:left="45" w:right="530"/>
        <w:rPr>
          <w:sz w:val="22"/>
        </w:rPr>
      </w:pPr>
    </w:p>
    <w:p w14:paraId="18A71DB6" w14:textId="724223BD" w:rsidR="00096C84" w:rsidRPr="005D1845" w:rsidRDefault="007C7DC2" w:rsidP="00096C84">
      <w:pPr>
        <w:spacing w:after="0" w:line="240" w:lineRule="auto"/>
        <w:ind w:left="45" w:right="530"/>
        <w:rPr>
          <w:sz w:val="22"/>
        </w:rPr>
      </w:pPr>
      <w:r w:rsidRPr="005D1845">
        <w:rPr>
          <w:sz w:val="22"/>
        </w:rPr>
        <w:t>Canales-Kriljenko J. I</w:t>
      </w:r>
      <w:r w:rsidR="00F826D6" w:rsidRPr="005D1845">
        <w:rPr>
          <w:sz w:val="22"/>
        </w:rPr>
        <w:t>. (2003).</w:t>
      </w:r>
      <w:r w:rsidR="003E41F4" w:rsidRPr="005D1845">
        <w:rPr>
          <w:sz w:val="22"/>
        </w:rPr>
        <w:t xml:space="preserve"> “F</w:t>
      </w:r>
      <w:r w:rsidR="00F826D6" w:rsidRPr="005D1845">
        <w:rPr>
          <w:sz w:val="22"/>
        </w:rPr>
        <w:t>oreign Exchange Intervention in Developing and Transition Economies: Results of a S</w:t>
      </w:r>
      <w:r w:rsidR="006426FC" w:rsidRPr="005D1845">
        <w:rPr>
          <w:sz w:val="22"/>
        </w:rPr>
        <w:t>urvey</w:t>
      </w:r>
      <w:r w:rsidR="006426FC" w:rsidRPr="005D1845">
        <w:rPr>
          <w:i/>
          <w:iCs/>
          <w:sz w:val="22"/>
        </w:rPr>
        <w:t xml:space="preserve">”, </w:t>
      </w:r>
      <w:r w:rsidR="00FB1B81" w:rsidRPr="005D1845">
        <w:rPr>
          <w:i/>
          <w:iCs/>
          <w:sz w:val="22"/>
        </w:rPr>
        <w:t xml:space="preserve">IMF </w:t>
      </w:r>
      <w:r w:rsidR="00813585" w:rsidRPr="005D1845">
        <w:rPr>
          <w:i/>
          <w:iCs/>
          <w:sz w:val="22"/>
        </w:rPr>
        <w:t>W</w:t>
      </w:r>
      <w:r w:rsidR="006426FC" w:rsidRPr="005D1845">
        <w:rPr>
          <w:i/>
          <w:iCs/>
          <w:sz w:val="22"/>
        </w:rPr>
        <w:t xml:space="preserve">orking </w:t>
      </w:r>
      <w:r w:rsidR="00813585" w:rsidRPr="005D1845">
        <w:rPr>
          <w:i/>
          <w:iCs/>
          <w:sz w:val="22"/>
        </w:rPr>
        <w:t>P</w:t>
      </w:r>
      <w:r w:rsidR="006426FC" w:rsidRPr="005D1845">
        <w:rPr>
          <w:i/>
          <w:iCs/>
          <w:sz w:val="22"/>
        </w:rPr>
        <w:t>aper</w:t>
      </w:r>
      <w:r w:rsidR="00F826D6" w:rsidRPr="005D1845">
        <w:rPr>
          <w:sz w:val="22"/>
        </w:rPr>
        <w:t xml:space="preserve"> pp. 3- 95</w:t>
      </w:r>
      <w:r w:rsidR="00EB2815" w:rsidRPr="005D1845">
        <w:rPr>
          <w:sz w:val="22"/>
        </w:rPr>
        <w:t>.</w:t>
      </w:r>
    </w:p>
    <w:p w14:paraId="49DA959B" w14:textId="18D426C2" w:rsidR="00376BC6" w:rsidRPr="005D1845" w:rsidRDefault="00376BC6" w:rsidP="007628A9">
      <w:pPr>
        <w:spacing w:after="0" w:line="240" w:lineRule="auto"/>
        <w:ind w:left="0" w:right="530" w:firstLine="0"/>
        <w:rPr>
          <w:sz w:val="22"/>
        </w:rPr>
      </w:pPr>
    </w:p>
    <w:p w14:paraId="5C8BC488" w14:textId="0ED7B462" w:rsidR="004E4D57" w:rsidRPr="005D1845" w:rsidRDefault="004E4D57" w:rsidP="00096C84">
      <w:pPr>
        <w:spacing w:after="0" w:line="240" w:lineRule="auto"/>
        <w:ind w:left="45" w:right="530"/>
        <w:rPr>
          <w:sz w:val="22"/>
          <w:lang w:val="es-BO"/>
        </w:rPr>
      </w:pPr>
      <w:r w:rsidRPr="005D1845">
        <w:rPr>
          <w:sz w:val="22"/>
          <w:lang w:val="es-BO"/>
        </w:rPr>
        <w:t xml:space="preserve">Cerezo, V., López, T y F. López </w:t>
      </w:r>
      <w:r w:rsidR="00F826D6" w:rsidRPr="005D1845">
        <w:rPr>
          <w:sz w:val="22"/>
          <w:lang w:val="es-BO"/>
        </w:rPr>
        <w:t>(2019).</w:t>
      </w:r>
      <w:r w:rsidRPr="005D1845">
        <w:rPr>
          <w:sz w:val="22"/>
          <w:lang w:val="es-BO"/>
        </w:rPr>
        <w:t xml:space="preserve"> “Crecimiento Económico e Inflación en México, Una relación lineal o no lineal”, IE</w:t>
      </w:r>
      <w:r w:rsidR="00F826D6" w:rsidRPr="005D1845">
        <w:rPr>
          <w:sz w:val="22"/>
          <w:lang w:val="es-BO"/>
        </w:rPr>
        <w:t xml:space="preserve">, 79(311), </w:t>
      </w:r>
      <w:r w:rsidR="001621FB" w:rsidRPr="005D1845">
        <w:rPr>
          <w:sz w:val="22"/>
          <w:lang w:val="es-BO"/>
        </w:rPr>
        <w:t>enero-marzo de 2020</w:t>
      </w:r>
      <w:r w:rsidR="00813585" w:rsidRPr="005D1845">
        <w:rPr>
          <w:sz w:val="22"/>
          <w:lang w:val="es-BO"/>
        </w:rPr>
        <w:t>,</w:t>
      </w:r>
      <w:r w:rsidR="001621FB" w:rsidRPr="005D1845">
        <w:rPr>
          <w:sz w:val="22"/>
          <w:lang w:val="es-BO"/>
        </w:rPr>
        <w:t xml:space="preserve"> </w:t>
      </w:r>
      <w:r w:rsidRPr="005D1845">
        <w:rPr>
          <w:sz w:val="22"/>
          <w:lang w:val="es-BO"/>
        </w:rPr>
        <w:t xml:space="preserve"> </w:t>
      </w:r>
      <w:hyperlink r:id="rId110" w:history="1">
        <w:r w:rsidR="00096C84" w:rsidRPr="005D1845">
          <w:rPr>
            <w:rStyle w:val="Hipervnculo"/>
            <w:sz w:val="22"/>
            <w:lang w:val="es-BO"/>
          </w:rPr>
          <w:t>http://dx.doi.org/10.22201/fe.01851667p.2020.311.72437</w:t>
        </w:r>
      </w:hyperlink>
      <w:r w:rsidRPr="005D1845">
        <w:rPr>
          <w:sz w:val="22"/>
          <w:lang w:val="es-BO"/>
        </w:rPr>
        <w:t xml:space="preserve">. </w:t>
      </w:r>
    </w:p>
    <w:p w14:paraId="627D39E2" w14:textId="77777777" w:rsidR="00096C84" w:rsidRPr="005D1845" w:rsidRDefault="00096C84" w:rsidP="00096C84">
      <w:pPr>
        <w:spacing w:after="0" w:line="240" w:lineRule="auto"/>
        <w:ind w:left="45" w:right="530"/>
        <w:rPr>
          <w:sz w:val="22"/>
          <w:lang w:val="es-BO"/>
        </w:rPr>
      </w:pPr>
    </w:p>
    <w:p w14:paraId="78FF80B3" w14:textId="2FDD3354" w:rsidR="00DD2B4E" w:rsidRPr="005D1845" w:rsidRDefault="00DD2B4E" w:rsidP="00096C84">
      <w:pPr>
        <w:spacing w:after="0" w:line="240" w:lineRule="auto"/>
        <w:ind w:right="527"/>
        <w:rPr>
          <w:sz w:val="22"/>
        </w:rPr>
      </w:pPr>
      <w:r w:rsidRPr="005D1845">
        <w:rPr>
          <w:sz w:val="22"/>
          <w:lang w:val="es-BO"/>
        </w:rPr>
        <w:t>Céspedes,</w:t>
      </w:r>
      <w:r w:rsidR="00F826D6" w:rsidRPr="005D1845">
        <w:rPr>
          <w:sz w:val="22"/>
          <w:lang w:val="es-BO"/>
        </w:rPr>
        <w:t xml:space="preserve"> Luis F., y Claudio Soto (2005).</w:t>
      </w:r>
      <w:r w:rsidRPr="005D1845">
        <w:rPr>
          <w:sz w:val="22"/>
          <w:lang w:val="es-BO"/>
        </w:rPr>
        <w:t xml:space="preserve"> </w:t>
      </w:r>
      <w:r w:rsidR="00F826D6" w:rsidRPr="005D1845">
        <w:rPr>
          <w:sz w:val="22"/>
        </w:rPr>
        <w:t>“Credibility and Inflation Targeting in an E</w:t>
      </w:r>
      <w:r w:rsidRPr="005D1845">
        <w:rPr>
          <w:sz w:val="22"/>
        </w:rPr>
        <w:t xml:space="preserve">merging </w:t>
      </w:r>
      <w:r w:rsidR="00F826D6" w:rsidRPr="005D1845">
        <w:rPr>
          <w:sz w:val="22"/>
        </w:rPr>
        <w:t>Market: The C</w:t>
      </w:r>
      <w:r w:rsidRPr="005D1845">
        <w:rPr>
          <w:sz w:val="22"/>
        </w:rPr>
        <w:t xml:space="preserve">ase of Chile”, Central Bank of Chile Working Papers, núm. 312, Santiago de Chile, Banco Central de Chile, </w:t>
      </w:r>
      <w:r w:rsidR="00EB2815" w:rsidRPr="005D1845">
        <w:rPr>
          <w:sz w:val="22"/>
        </w:rPr>
        <w:t>Abril</w:t>
      </w:r>
      <w:r w:rsidRPr="005D1845">
        <w:rPr>
          <w:sz w:val="22"/>
        </w:rPr>
        <w:t>, pp. 1-40.</w:t>
      </w:r>
    </w:p>
    <w:p w14:paraId="67787F05" w14:textId="596C164C" w:rsidR="00DD2B4E" w:rsidRPr="005D1845" w:rsidRDefault="00DD2B4E" w:rsidP="00096C84">
      <w:pPr>
        <w:spacing w:after="0" w:line="240" w:lineRule="auto"/>
        <w:ind w:left="0" w:right="527" w:firstLine="0"/>
        <w:rPr>
          <w:sz w:val="22"/>
        </w:rPr>
      </w:pPr>
    </w:p>
    <w:p w14:paraId="14ADC8DF" w14:textId="067B5973" w:rsidR="00376BC6" w:rsidRPr="005D1845" w:rsidRDefault="00591E0E" w:rsidP="00096C84">
      <w:pPr>
        <w:spacing w:after="0" w:line="240" w:lineRule="auto"/>
        <w:ind w:left="45" w:right="530"/>
        <w:rPr>
          <w:sz w:val="22"/>
        </w:rPr>
      </w:pPr>
      <w:r w:rsidRPr="005D1845">
        <w:rPr>
          <w:sz w:val="22"/>
        </w:rPr>
        <w:t>Corbo, V.; O. L</w:t>
      </w:r>
      <w:r w:rsidR="006426FC" w:rsidRPr="005D1845">
        <w:rPr>
          <w:sz w:val="22"/>
        </w:rPr>
        <w:t xml:space="preserve">anderretche y </w:t>
      </w:r>
      <w:r w:rsidRPr="005D1845">
        <w:rPr>
          <w:sz w:val="22"/>
        </w:rPr>
        <w:t>K. Schmidt-H</w:t>
      </w:r>
      <w:r w:rsidR="00F826D6" w:rsidRPr="005D1845">
        <w:rPr>
          <w:sz w:val="22"/>
        </w:rPr>
        <w:t>ebbel (2002).</w:t>
      </w:r>
      <w:r w:rsidR="00EB2815" w:rsidRPr="005D1845">
        <w:rPr>
          <w:sz w:val="22"/>
        </w:rPr>
        <w:t xml:space="preserve"> “Does I</w:t>
      </w:r>
      <w:r w:rsidR="006426FC" w:rsidRPr="005D1845">
        <w:rPr>
          <w:sz w:val="22"/>
        </w:rPr>
        <w:t>nflation</w:t>
      </w:r>
      <w:r w:rsidR="00EB2815" w:rsidRPr="005D1845">
        <w:rPr>
          <w:sz w:val="22"/>
        </w:rPr>
        <w:t xml:space="preserve"> Targeting Make a D</w:t>
      </w:r>
      <w:r w:rsidRPr="005D1845">
        <w:rPr>
          <w:sz w:val="22"/>
        </w:rPr>
        <w:t>i</w:t>
      </w:r>
      <w:r w:rsidR="00D25CD3" w:rsidRPr="005D1845">
        <w:rPr>
          <w:sz w:val="22"/>
        </w:rPr>
        <w:t>fference?”, en N. Loayza y R. Sot</w:t>
      </w:r>
      <w:r w:rsidRPr="005D1845">
        <w:rPr>
          <w:sz w:val="22"/>
        </w:rPr>
        <w:t xml:space="preserve">o (orgs.), </w:t>
      </w:r>
      <w:r w:rsidR="00D25CD3" w:rsidRPr="005D1845">
        <w:rPr>
          <w:i/>
          <w:sz w:val="22"/>
        </w:rPr>
        <w:t>Inflation Targeting: Design, P</w:t>
      </w:r>
      <w:r w:rsidRPr="005D1845">
        <w:rPr>
          <w:i/>
          <w:sz w:val="22"/>
        </w:rPr>
        <w:t>erformance,</w:t>
      </w:r>
      <w:r w:rsidRPr="005D1845">
        <w:rPr>
          <w:sz w:val="22"/>
        </w:rPr>
        <w:t xml:space="preserve"> </w:t>
      </w:r>
      <w:r w:rsidR="00D25CD3" w:rsidRPr="005D1845">
        <w:rPr>
          <w:i/>
          <w:sz w:val="22"/>
        </w:rPr>
        <w:t>C</w:t>
      </w:r>
      <w:r w:rsidRPr="005D1845">
        <w:rPr>
          <w:i/>
          <w:sz w:val="22"/>
        </w:rPr>
        <w:t>hallenges</w:t>
      </w:r>
      <w:r w:rsidR="007C137F" w:rsidRPr="005D1845">
        <w:rPr>
          <w:sz w:val="22"/>
        </w:rPr>
        <w:t>, Santiago, Banco Central de C</w:t>
      </w:r>
      <w:r w:rsidRPr="005D1845">
        <w:rPr>
          <w:sz w:val="22"/>
        </w:rPr>
        <w:t xml:space="preserve">hile. </w:t>
      </w:r>
    </w:p>
    <w:p w14:paraId="7FC1D767" w14:textId="77777777" w:rsidR="001030CA" w:rsidRPr="005D1845" w:rsidRDefault="001030CA" w:rsidP="001030CA">
      <w:pPr>
        <w:spacing w:after="0" w:line="240" w:lineRule="auto"/>
        <w:ind w:left="45" w:right="530"/>
        <w:rPr>
          <w:sz w:val="22"/>
        </w:rPr>
      </w:pPr>
    </w:p>
    <w:p w14:paraId="1A59522A" w14:textId="2E04DA3F" w:rsidR="001030CA" w:rsidRPr="005D1845" w:rsidRDefault="001030CA" w:rsidP="001030CA">
      <w:pPr>
        <w:spacing w:after="0" w:line="240" w:lineRule="auto"/>
        <w:ind w:left="45" w:right="530"/>
        <w:rPr>
          <w:sz w:val="22"/>
          <w:lang w:val="es-BO"/>
        </w:rPr>
      </w:pPr>
      <w:r w:rsidRPr="005D1845">
        <w:rPr>
          <w:sz w:val="22"/>
          <w:lang w:val="es-BO"/>
        </w:rPr>
        <w:t xml:space="preserve">Clinton, K. y J. F. Perrault (2001). “Metas de Inflación y Tipos de Cambio Flexibles en Economías Emergentes”, </w:t>
      </w:r>
      <w:r w:rsidR="0046744A" w:rsidRPr="005D1845">
        <w:rPr>
          <w:sz w:val="22"/>
          <w:lang w:val="es-BO"/>
        </w:rPr>
        <w:t xml:space="preserve">Banco </w:t>
      </w:r>
      <w:r w:rsidR="00D03D28" w:rsidRPr="005D1845">
        <w:rPr>
          <w:sz w:val="22"/>
          <w:lang w:val="es-BO"/>
        </w:rPr>
        <w:t xml:space="preserve">Central de Reserva del Perú, Revista </w:t>
      </w:r>
      <w:r w:rsidRPr="005D1845">
        <w:rPr>
          <w:sz w:val="22"/>
          <w:lang w:val="es-BO"/>
        </w:rPr>
        <w:t>Estudios Económicos, 7, pp. 113 – 134.</w:t>
      </w:r>
    </w:p>
    <w:p w14:paraId="1B52C3A8" w14:textId="7C94FE7E" w:rsidR="00F84EA8" w:rsidRPr="005D1845" w:rsidRDefault="00F84EA8" w:rsidP="00096C84">
      <w:pPr>
        <w:spacing w:after="0" w:line="240" w:lineRule="auto"/>
        <w:ind w:left="45" w:right="530"/>
        <w:rPr>
          <w:sz w:val="22"/>
          <w:lang w:val="es-BO"/>
        </w:rPr>
      </w:pPr>
    </w:p>
    <w:p w14:paraId="7AF41FCE" w14:textId="5E6AF801" w:rsidR="00F84EA8" w:rsidRPr="005D1845" w:rsidRDefault="00F84EA8" w:rsidP="00F84EA8">
      <w:pPr>
        <w:spacing w:after="0" w:line="240" w:lineRule="auto"/>
        <w:ind w:left="45" w:right="527" w:hanging="11"/>
        <w:rPr>
          <w:sz w:val="22"/>
        </w:rPr>
      </w:pPr>
      <w:r w:rsidRPr="005D1845">
        <w:rPr>
          <w:sz w:val="22"/>
          <w:lang w:val="es-BO"/>
        </w:rPr>
        <w:t xml:space="preserve">Charles Engel y Craig S. Hakkio, (1994). </w:t>
      </w:r>
      <w:r w:rsidRPr="005D1845">
        <w:rPr>
          <w:sz w:val="22"/>
        </w:rPr>
        <w:t xml:space="preserve">"The Distribution of Exchange rates in the EMS," </w:t>
      </w:r>
      <w:r w:rsidRPr="005D1845">
        <w:rPr>
          <w:i/>
          <w:sz w:val="22"/>
        </w:rPr>
        <w:t>Research Working</w:t>
      </w:r>
      <w:r w:rsidRPr="005D1845">
        <w:rPr>
          <w:sz w:val="22"/>
        </w:rPr>
        <w:t xml:space="preserve"> Paper 94-03, Federal Reserve.</w:t>
      </w:r>
    </w:p>
    <w:p w14:paraId="48B9185A" w14:textId="49CAFC79" w:rsidR="009F61F5" w:rsidRPr="005D1845" w:rsidRDefault="009F61F5" w:rsidP="00F84EA8">
      <w:pPr>
        <w:spacing w:after="0" w:line="240" w:lineRule="auto"/>
        <w:ind w:left="45" w:right="527" w:hanging="11"/>
        <w:rPr>
          <w:sz w:val="22"/>
        </w:rPr>
      </w:pPr>
    </w:p>
    <w:p w14:paraId="1B203D10" w14:textId="512F038F" w:rsidR="00F02F5E" w:rsidRPr="005D1845" w:rsidRDefault="00F02F5E" w:rsidP="00F02F5E">
      <w:pPr>
        <w:spacing w:after="0" w:line="240" w:lineRule="auto"/>
        <w:ind w:left="45" w:right="530"/>
        <w:rPr>
          <w:sz w:val="22"/>
        </w:rPr>
      </w:pPr>
      <w:r w:rsidRPr="005D1845">
        <w:rPr>
          <w:sz w:val="22"/>
        </w:rPr>
        <w:t xml:space="preserve">Clarida, R., J. Galí y M. Gertler (1998): “Monetary Policy Rules in Practice: Some International Evidence”, </w:t>
      </w:r>
      <w:r w:rsidRPr="005D1845">
        <w:rPr>
          <w:i/>
          <w:sz w:val="22"/>
        </w:rPr>
        <w:t>European Economic Review 42</w:t>
      </w:r>
      <w:r w:rsidRPr="005D1845">
        <w:rPr>
          <w:sz w:val="22"/>
        </w:rPr>
        <w:t xml:space="preserve">, págs. 1033-1067. </w:t>
      </w:r>
    </w:p>
    <w:p w14:paraId="230F66F8" w14:textId="77777777" w:rsidR="00F02F5E" w:rsidRPr="005D1845" w:rsidRDefault="00F02F5E" w:rsidP="00F02F5E">
      <w:pPr>
        <w:spacing w:after="0" w:line="240" w:lineRule="auto"/>
        <w:ind w:left="45" w:right="530"/>
        <w:rPr>
          <w:sz w:val="22"/>
        </w:rPr>
      </w:pPr>
    </w:p>
    <w:p w14:paraId="7CC07449" w14:textId="550BB496" w:rsidR="00F02F5E" w:rsidRPr="005D1845" w:rsidRDefault="00F02F5E" w:rsidP="00F02F5E">
      <w:pPr>
        <w:spacing w:after="0" w:line="240" w:lineRule="auto"/>
        <w:ind w:left="45" w:right="530"/>
        <w:rPr>
          <w:sz w:val="22"/>
        </w:rPr>
      </w:pPr>
      <w:r w:rsidRPr="005D1845">
        <w:rPr>
          <w:sz w:val="22"/>
        </w:rPr>
        <w:t xml:space="preserve">Clarida, R. J. Galí y M. Gertler (1999): “The Science of Monetary Policy: a New Keynesian Perspective”, </w:t>
      </w:r>
      <w:r w:rsidRPr="005D1845">
        <w:rPr>
          <w:i/>
          <w:sz w:val="22"/>
        </w:rPr>
        <w:t>Journal of Economic Literature 37</w:t>
      </w:r>
      <w:r w:rsidRPr="005D1845">
        <w:rPr>
          <w:sz w:val="22"/>
        </w:rPr>
        <w:t xml:space="preserve">, págs. 1661-1707. </w:t>
      </w:r>
    </w:p>
    <w:p w14:paraId="5AAC3AE4" w14:textId="77777777" w:rsidR="00F02F5E" w:rsidRPr="005D1845" w:rsidRDefault="00F02F5E" w:rsidP="00F02F5E">
      <w:pPr>
        <w:spacing w:after="0" w:line="240" w:lineRule="auto"/>
        <w:ind w:left="45" w:right="530"/>
        <w:rPr>
          <w:sz w:val="22"/>
        </w:rPr>
      </w:pPr>
    </w:p>
    <w:p w14:paraId="0B44948A" w14:textId="4B223505" w:rsidR="009F61F5" w:rsidRPr="005D1845" w:rsidRDefault="00F02F5E" w:rsidP="00F02F5E">
      <w:pPr>
        <w:spacing w:after="0" w:line="240" w:lineRule="auto"/>
        <w:ind w:left="45" w:right="530"/>
        <w:rPr>
          <w:sz w:val="22"/>
        </w:rPr>
      </w:pPr>
      <w:r w:rsidRPr="005D1845">
        <w:rPr>
          <w:sz w:val="22"/>
        </w:rPr>
        <w:t xml:space="preserve">Clarida, R., J. Galí y M. Gertler (2000): “Monetary Policy Rules and Macroeconomic Stability: Evidence and Some Theory”, </w:t>
      </w:r>
      <w:r w:rsidRPr="005D1845">
        <w:rPr>
          <w:i/>
          <w:sz w:val="22"/>
        </w:rPr>
        <w:t>Quarterly Journal of Economics 115</w:t>
      </w:r>
      <w:r w:rsidRPr="005D1845">
        <w:rPr>
          <w:sz w:val="22"/>
        </w:rPr>
        <w:t>, págs. 147- 180.</w:t>
      </w:r>
    </w:p>
    <w:p w14:paraId="05A50D87" w14:textId="77777777" w:rsidR="00096C84" w:rsidRPr="005D1845" w:rsidRDefault="00096C84" w:rsidP="00096C84">
      <w:pPr>
        <w:spacing w:after="0" w:line="240" w:lineRule="auto"/>
        <w:ind w:left="45" w:right="530"/>
        <w:rPr>
          <w:sz w:val="22"/>
        </w:rPr>
      </w:pPr>
    </w:p>
    <w:p w14:paraId="061779C6" w14:textId="217F0F6F" w:rsidR="00096C84" w:rsidRPr="005D1845" w:rsidRDefault="00591E0E" w:rsidP="00096C84">
      <w:pPr>
        <w:spacing w:after="0" w:line="240" w:lineRule="auto"/>
        <w:ind w:left="45" w:right="530"/>
        <w:rPr>
          <w:sz w:val="22"/>
        </w:rPr>
      </w:pPr>
      <w:r w:rsidRPr="005D1845">
        <w:rPr>
          <w:sz w:val="22"/>
        </w:rPr>
        <w:t>Davidson, P</w:t>
      </w:r>
      <w:r w:rsidR="006426FC" w:rsidRPr="005D1845">
        <w:rPr>
          <w:sz w:val="22"/>
        </w:rPr>
        <w:t>. (1972) “</w:t>
      </w:r>
      <w:r w:rsidR="00E71A87" w:rsidRPr="005D1845">
        <w:rPr>
          <w:i/>
          <w:sz w:val="22"/>
        </w:rPr>
        <w:t>M</w:t>
      </w:r>
      <w:r w:rsidR="0046744A" w:rsidRPr="005D1845">
        <w:rPr>
          <w:i/>
          <w:sz w:val="22"/>
        </w:rPr>
        <w:t>oney and the R</w:t>
      </w:r>
      <w:r w:rsidR="00CE41EB" w:rsidRPr="005D1845">
        <w:rPr>
          <w:i/>
          <w:sz w:val="22"/>
        </w:rPr>
        <w:t xml:space="preserve">eal </w:t>
      </w:r>
      <w:r w:rsidR="001A5A44" w:rsidRPr="005D1845">
        <w:rPr>
          <w:i/>
          <w:sz w:val="22"/>
        </w:rPr>
        <w:t>W</w:t>
      </w:r>
      <w:r w:rsidR="00CE41EB" w:rsidRPr="005D1845">
        <w:rPr>
          <w:i/>
          <w:sz w:val="22"/>
        </w:rPr>
        <w:t>orld</w:t>
      </w:r>
      <w:r w:rsidR="009C5159" w:rsidRPr="005D1845">
        <w:rPr>
          <w:i/>
          <w:sz w:val="22"/>
        </w:rPr>
        <w:t xml:space="preserve">”, </w:t>
      </w:r>
      <w:r w:rsidR="00FB1B81" w:rsidRPr="005D1845">
        <w:rPr>
          <w:sz w:val="22"/>
        </w:rPr>
        <w:t>Nueva York: John Wiley and S</w:t>
      </w:r>
      <w:r w:rsidR="009C5159" w:rsidRPr="005D1845">
        <w:rPr>
          <w:sz w:val="22"/>
        </w:rPr>
        <w:t>ons</w:t>
      </w:r>
      <w:r w:rsidR="006426FC" w:rsidRPr="005D1845">
        <w:rPr>
          <w:sz w:val="22"/>
        </w:rPr>
        <w:t>.</w:t>
      </w:r>
    </w:p>
    <w:p w14:paraId="69FFD59F" w14:textId="7242C1F3" w:rsidR="00376BC6" w:rsidRPr="005D1845" w:rsidRDefault="006426FC" w:rsidP="00096C84">
      <w:pPr>
        <w:spacing w:after="0" w:line="240" w:lineRule="auto"/>
        <w:ind w:left="45" w:right="530"/>
        <w:rPr>
          <w:sz w:val="22"/>
        </w:rPr>
      </w:pPr>
      <w:r w:rsidRPr="005D1845">
        <w:rPr>
          <w:sz w:val="22"/>
        </w:rPr>
        <w:t xml:space="preserve"> </w:t>
      </w:r>
    </w:p>
    <w:p w14:paraId="16B320F6" w14:textId="6A14DC0A" w:rsidR="00376BC6" w:rsidRPr="005D1845" w:rsidRDefault="00591E0E" w:rsidP="00096C84">
      <w:pPr>
        <w:spacing w:after="0" w:line="240" w:lineRule="auto"/>
        <w:ind w:left="45" w:right="530"/>
        <w:rPr>
          <w:sz w:val="22"/>
        </w:rPr>
      </w:pPr>
      <w:r w:rsidRPr="005D1845">
        <w:rPr>
          <w:sz w:val="22"/>
        </w:rPr>
        <w:t>Debelle, G.; Masson, P.; Savastano, M. y Sharma, S</w:t>
      </w:r>
      <w:r w:rsidR="000F6399" w:rsidRPr="005D1845">
        <w:rPr>
          <w:sz w:val="22"/>
        </w:rPr>
        <w:t>. (1998)</w:t>
      </w:r>
      <w:r w:rsidR="00F826D6" w:rsidRPr="005D1845">
        <w:rPr>
          <w:sz w:val="22"/>
        </w:rPr>
        <w:t>.</w:t>
      </w:r>
      <w:r w:rsidR="000F6399" w:rsidRPr="005D1845">
        <w:rPr>
          <w:sz w:val="22"/>
        </w:rPr>
        <w:t xml:space="preserve"> “I</w:t>
      </w:r>
      <w:r w:rsidR="009C5159" w:rsidRPr="005D1845">
        <w:rPr>
          <w:sz w:val="22"/>
        </w:rPr>
        <w:t>nflation Targeting as a Framework for Monetary P</w:t>
      </w:r>
      <w:r w:rsidR="006426FC" w:rsidRPr="005D1845">
        <w:rPr>
          <w:sz w:val="22"/>
        </w:rPr>
        <w:t xml:space="preserve">olicy” en </w:t>
      </w:r>
      <w:r w:rsidR="00FB1B81" w:rsidRPr="005D1845">
        <w:rPr>
          <w:i/>
          <w:sz w:val="22"/>
        </w:rPr>
        <w:t>I</w:t>
      </w:r>
      <w:r w:rsidR="006426FC" w:rsidRPr="005D1845">
        <w:rPr>
          <w:i/>
          <w:sz w:val="22"/>
        </w:rPr>
        <w:t>nternational</w:t>
      </w:r>
      <w:r w:rsidR="006426FC" w:rsidRPr="005D1845">
        <w:rPr>
          <w:sz w:val="22"/>
        </w:rPr>
        <w:t xml:space="preserve"> </w:t>
      </w:r>
      <w:r w:rsidR="00FB1B81" w:rsidRPr="005D1845">
        <w:rPr>
          <w:i/>
          <w:sz w:val="22"/>
        </w:rPr>
        <w:t>Monetary F</w:t>
      </w:r>
      <w:r w:rsidR="00F826D6" w:rsidRPr="005D1845">
        <w:rPr>
          <w:i/>
          <w:sz w:val="22"/>
        </w:rPr>
        <w:t>und Economic I</w:t>
      </w:r>
      <w:r w:rsidR="006426FC" w:rsidRPr="005D1845">
        <w:rPr>
          <w:i/>
          <w:sz w:val="22"/>
        </w:rPr>
        <w:t xml:space="preserve">ssues </w:t>
      </w:r>
      <w:r w:rsidR="00FB1B81" w:rsidRPr="005D1845">
        <w:rPr>
          <w:sz w:val="22"/>
        </w:rPr>
        <w:t>(Washington DC</w:t>
      </w:r>
      <w:r w:rsidR="007C137F" w:rsidRPr="005D1845">
        <w:rPr>
          <w:sz w:val="22"/>
        </w:rPr>
        <w:t>) pp.</w:t>
      </w:r>
      <w:r w:rsidR="006426FC" w:rsidRPr="005D1845">
        <w:rPr>
          <w:sz w:val="22"/>
        </w:rPr>
        <w:t xml:space="preserve">15. </w:t>
      </w:r>
    </w:p>
    <w:p w14:paraId="75E7B32C" w14:textId="77777777" w:rsidR="00096C84" w:rsidRPr="005D1845" w:rsidRDefault="00096C84" w:rsidP="00096C84">
      <w:pPr>
        <w:spacing w:after="0" w:line="240" w:lineRule="auto"/>
        <w:ind w:left="45" w:right="530"/>
        <w:rPr>
          <w:sz w:val="22"/>
        </w:rPr>
      </w:pPr>
    </w:p>
    <w:p w14:paraId="71043BEE" w14:textId="68EB354D" w:rsidR="00376BC6" w:rsidRPr="005D1845" w:rsidRDefault="00591E0E" w:rsidP="00096C84">
      <w:pPr>
        <w:spacing w:after="0" w:line="240" w:lineRule="auto"/>
        <w:ind w:left="45" w:right="530"/>
        <w:rPr>
          <w:i/>
          <w:sz w:val="22"/>
        </w:rPr>
      </w:pPr>
      <w:r w:rsidRPr="005D1845">
        <w:rPr>
          <w:sz w:val="22"/>
          <w:lang w:val="es-BO"/>
        </w:rPr>
        <w:t>De Gregorio, J., A. Tokman y R. V</w:t>
      </w:r>
      <w:r w:rsidR="006426FC" w:rsidRPr="005D1845">
        <w:rPr>
          <w:sz w:val="22"/>
          <w:lang w:val="es-BO"/>
        </w:rPr>
        <w:t xml:space="preserve">aldés (2005). </w:t>
      </w:r>
      <w:r w:rsidR="006426FC" w:rsidRPr="005D1845">
        <w:rPr>
          <w:sz w:val="22"/>
        </w:rPr>
        <w:t>“</w:t>
      </w:r>
      <w:r w:rsidR="000F6399" w:rsidRPr="005D1845">
        <w:rPr>
          <w:i/>
          <w:sz w:val="22"/>
        </w:rPr>
        <w:t>F</w:t>
      </w:r>
      <w:r w:rsidR="006426FC" w:rsidRPr="005D1845">
        <w:rPr>
          <w:i/>
          <w:sz w:val="22"/>
        </w:rPr>
        <w:t xml:space="preserve">lexible exchange rate with inflation targeting in </w:t>
      </w:r>
      <w:r w:rsidR="00FB1B81" w:rsidRPr="005D1845">
        <w:rPr>
          <w:i/>
          <w:sz w:val="22"/>
        </w:rPr>
        <w:t>Chile</w:t>
      </w:r>
      <w:r w:rsidR="00EB1070" w:rsidRPr="005D1845">
        <w:rPr>
          <w:i/>
          <w:sz w:val="22"/>
        </w:rPr>
        <w:t>: Experience and I</w:t>
      </w:r>
      <w:r w:rsidR="006426FC" w:rsidRPr="005D1845">
        <w:rPr>
          <w:i/>
          <w:sz w:val="22"/>
        </w:rPr>
        <w:t xml:space="preserve">ssues”, </w:t>
      </w:r>
      <w:r w:rsidR="00FB1B81" w:rsidRPr="005D1845">
        <w:rPr>
          <w:sz w:val="22"/>
        </w:rPr>
        <w:t>working paper nro.</w:t>
      </w:r>
      <w:r w:rsidR="007C137F" w:rsidRPr="005D1845">
        <w:rPr>
          <w:sz w:val="22"/>
        </w:rPr>
        <w:t xml:space="preserve"> 540, Interamerican Development B</w:t>
      </w:r>
      <w:r w:rsidR="006426FC" w:rsidRPr="005D1845">
        <w:rPr>
          <w:sz w:val="22"/>
        </w:rPr>
        <w:t>ank.</w:t>
      </w:r>
      <w:r w:rsidR="006426FC" w:rsidRPr="005D1845">
        <w:rPr>
          <w:i/>
          <w:sz w:val="22"/>
        </w:rPr>
        <w:t xml:space="preserve"> </w:t>
      </w:r>
    </w:p>
    <w:p w14:paraId="2268BBE4" w14:textId="77777777" w:rsidR="00096C84" w:rsidRPr="005D1845" w:rsidRDefault="00096C84" w:rsidP="00096C84">
      <w:pPr>
        <w:spacing w:after="0" w:line="240" w:lineRule="auto"/>
        <w:ind w:left="45" w:right="530"/>
        <w:rPr>
          <w:sz w:val="22"/>
        </w:rPr>
      </w:pPr>
    </w:p>
    <w:p w14:paraId="78C11043" w14:textId="77777777" w:rsidR="006A0029" w:rsidRPr="005D1845" w:rsidRDefault="00E71A87" w:rsidP="00AC02A6">
      <w:pPr>
        <w:spacing w:after="0" w:line="240" w:lineRule="auto"/>
        <w:ind w:left="45" w:right="530"/>
        <w:rPr>
          <w:sz w:val="22"/>
        </w:rPr>
      </w:pPr>
      <w:r w:rsidRPr="005D1845">
        <w:rPr>
          <w:sz w:val="22"/>
          <w:lang w:val="es-BO"/>
        </w:rPr>
        <w:t>Diebold, F. y</w:t>
      </w:r>
      <w:r w:rsidR="00591E0E" w:rsidRPr="005D1845">
        <w:rPr>
          <w:sz w:val="22"/>
          <w:lang w:val="es-BO"/>
        </w:rPr>
        <w:t xml:space="preserve"> Mariano, </w:t>
      </w:r>
      <w:r w:rsidR="00AC02A6" w:rsidRPr="005D1845">
        <w:rPr>
          <w:sz w:val="22"/>
          <w:lang w:val="es-BO"/>
        </w:rPr>
        <w:t>S</w:t>
      </w:r>
      <w:r w:rsidR="00F826D6" w:rsidRPr="005D1845">
        <w:rPr>
          <w:sz w:val="22"/>
          <w:lang w:val="es-BO"/>
        </w:rPr>
        <w:t>. (1995).</w:t>
      </w:r>
      <w:r w:rsidR="007C137F" w:rsidRPr="005D1845">
        <w:rPr>
          <w:sz w:val="22"/>
          <w:lang w:val="es-BO"/>
        </w:rPr>
        <w:t xml:space="preserve"> </w:t>
      </w:r>
      <w:r w:rsidR="007C137F" w:rsidRPr="005D1845">
        <w:rPr>
          <w:sz w:val="22"/>
        </w:rPr>
        <w:t>“C</w:t>
      </w:r>
      <w:r w:rsidR="0004003B" w:rsidRPr="005D1845">
        <w:rPr>
          <w:sz w:val="22"/>
        </w:rPr>
        <w:t>omparing Predictive A</w:t>
      </w:r>
      <w:r w:rsidR="006426FC" w:rsidRPr="005D1845">
        <w:rPr>
          <w:sz w:val="22"/>
        </w:rPr>
        <w:t xml:space="preserve">ccuracy,'' </w:t>
      </w:r>
      <w:r w:rsidR="00FB1B81" w:rsidRPr="005D1845">
        <w:rPr>
          <w:i/>
          <w:sz w:val="22"/>
        </w:rPr>
        <w:t>Journal of Business and Economic S</w:t>
      </w:r>
      <w:r w:rsidR="006426FC" w:rsidRPr="005D1845">
        <w:rPr>
          <w:i/>
          <w:sz w:val="22"/>
        </w:rPr>
        <w:t>tatistics,</w:t>
      </w:r>
      <w:r w:rsidR="007C137F" w:rsidRPr="005D1845">
        <w:rPr>
          <w:sz w:val="22"/>
        </w:rPr>
        <w:t xml:space="preserve"> pp.</w:t>
      </w:r>
      <w:r w:rsidR="006426FC" w:rsidRPr="005D1845">
        <w:rPr>
          <w:sz w:val="22"/>
        </w:rPr>
        <w:t xml:space="preserve"> 253-263. </w:t>
      </w:r>
    </w:p>
    <w:p w14:paraId="769B9BB9" w14:textId="730A99F4" w:rsidR="00096C84" w:rsidRPr="005D1845" w:rsidRDefault="006426FC" w:rsidP="00AC02A6">
      <w:pPr>
        <w:spacing w:after="0" w:line="240" w:lineRule="auto"/>
        <w:ind w:left="45" w:right="530"/>
        <w:rPr>
          <w:sz w:val="22"/>
        </w:rPr>
      </w:pPr>
      <w:r w:rsidRPr="005D1845">
        <w:rPr>
          <w:sz w:val="22"/>
        </w:rPr>
        <w:t xml:space="preserve"> </w:t>
      </w:r>
    </w:p>
    <w:p w14:paraId="140B9670" w14:textId="5EE56ADF" w:rsidR="00376BC6" w:rsidRPr="005D1845" w:rsidRDefault="00591E0E" w:rsidP="001030CA">
      <w:pPr>
        <w:spacing w:after="0" w:line="240" w:lineRule="auto"/>
        <w:ind w:left="50" w:right="230" w:firstLine="0"/>
        <w:rPr>
          <w:sz w:val="22"/>
        </w:rPr>
      </w:pPr>
      <w:r w:rsidRPr="005D1845">
        <w:rPr>
          <w:sz w:val="22"/>
          <w:lang w:val="es-BO"/>
        </w:rPr>
        <w:t>Domowitz, I. y Hakkio, C</w:t>
      </w:r>
      <w:r w:rsidR="0004003B" w:rsidRPr="005D1845">
        <w:rPr>
          <w:sz w:val="22"/>
          <w:lang w:val="es-BO"/>
        </w:rPr>
        <w:t>. (1985).</w:t>
      </w:r>
      <w:r w:rsidR="000F6399" w:rsidRPr="005D1845">
        <w:rPr>
          <w:sz w:val="22"/>
          <w:lang w:val="es-BO"/>
        </w:rPr>
        <w:t xml:space="preserve"> </w:t>
      </w:r>
      <w:r w:rsidR="000F6399" w:rsidRPr="005D1845">
        <w:rPr>
          <w:sz w:val="22"/>
        </w:rPr>
        <w:t>“C</w:t>
      </w:r>
      <w:r w:rsidR="0004003B" w:rsidRPr="005D1845">
        <w:rPr>
          <w:sz w:val="22"/>
        </w:rPr>
        <w:t>onditional V</w:t>
      </w:r>
      <w:r w:rsidR="006426FC" w:rsidRPr="005D1845">
        <w:rPr>
          <w:sz w:val="22"/>
        </w:rPr>
        <w:t>ariance and the risk premium in the</w:t>
      </w:r>
      <w:r w:rsidR="0004003B" w:rsidRPr="005D1845">
        <w:rPr>
          <w:sz w:val="22"/>
        </w:rPr>
        <w:t xml:space="preserve"> foreign exchange market”. </w:t>
      </w:r>
      <w:r w:rsidR="0004003B" w:rsidRPr="005D1845">
        <w:rPr>
          <w:i/>
          <w:sz w:val="22"/>
        </w:rPr>
        <w:t>Journal of International Economics</w:t>
      </w:r>
      <w:r w:rsidR="0004003B" w:rsidRPr="005D1845">
        <w:rPr>
          <w:sz w:val="22"/>
        </w:rPr>
        <w:t xml:space="preserve">, vol. 19, pp. 4766. </w:t>
      </w:r>
    </w:p>
    <w:p w14:paraId="2241D65D" w14:textId="77777777" w:rsidR="0046744A" w:rsidRPr="005D1845" w:rsidRDefault="0046744A" w:rsidP="001030CA">
      <w:pPr>
        <w:spacing w:after="0" w:line="240" w:lineRule="auto"/>
        <w:ind w:left="50" w:right="230" w:firstLine="0"/>
        <w:rPr>
          <w:sz w:val="22"/>
        </w:rPr>
      </w:pPr>
    </w:p>
    <w:p w14:paraId="7EA31B87" w14:textId="463F4CE6" w:rsidR="00376BC6" w:rsidRPr="005D1845" w:rsidRDefault="00591E0E" w:rsidP="00096C84">
      <w:pPr>
        <w:spacing w:after="0" w:line="240" w:lineRule="auto"/>
        <w:ind w:left="45" w:right="530"/>
        <w:rPr>
          <w:sz w:val="22"/>
        </w:rPr>
      </w:pPr>
      <w:r w:rsidRPr="005D1845">
        <w:rPr>
          <w:sz w:val="22"/>
        </w:rPr>
        <w:t>Domac</w:t>
      </w:r>
      <w:r w:rsidR="001030CA" w:rsidRPr="005D1845">
        <w:rPr>
          <w:sz w:val="22"/>
        </w:rPr>
        <w:t>, I.</w:t>
      </w:r>
      <w:r w:rsidRPr="005D1845">
        <w:rPr>
          <w:sz w:val="22"/>
        </w:rPr>
        <w:t xml:space="preserve"> y A. M</w:t>
      </w:r>
      <w:r w:rsidR="006426FC" w:rsidRPr="005D1845">
        <w:rPr>
          <w:sz w:val="22"/>
        </w:rPr>
        <w:t xml:space="preserve">endoza (2004). </w:t>
      </w:r>
      <w:r w:rsidR="000F6399" w:rsidRPr="005D1845">
        <w:rPr>
          <w:sz w:val="22"/>
        </w:rPr>
        <w:t>“I</w:t>
      </w:r>
      <w:r w:rsidR="0004003B" w:rsidRPr="005D1845">
        <w:rPr>
          <w:sz w:val="22"/>
        </w:rPr>
        <w:t>s There Room for Forex Interventions under Inflation Targeting F</w:t>
      </w:r>
      <w:r w:rsidR="006426FC" w:rsidRPr="005D1845">
        <w:rPr>
          <w:sz w:val="22"/>
        </w:rPr>
        <w:t xml:space="preserve">ramework? evidence from </w:t>
      </w:r>
      <w:r w:rsidR="007C137F" w:rsidRPr="005D1845">
        <w:rPr>
          <w:sz w:val="22"/>
        </w:rPr>
        <w:t>México</w:t>
      </w:r>
      <w:r w:rsidR="0004003B" w:rsidRPr="005D1845">
        <w:rPr>
          <w:sz w:val="22"/>
        </w:rPr>
        <w:t xml:space="preserve"> and T</w:t>
      </w:r>
      <w:r w:rsidR="006426FC" w:rsidRPr="005D1845">
        <w:rPr>
          <w:sz w:val="22"/>
        </w:rPr>
        <w:t xml:space="preserve">urkey”. </w:t>
      </w:r>
      <w:r w:rsidR="001E2EAD" w:rsidRPr="005D1845">
        <w:rPr>
          <w:i/>
          <w:sz w:val="22"/>
        </w:rPr>
        <w:t>P</w:t>
      </w:r>
      <w:r w:rsidR="006426FC" w:rsidRPr="005D1845">
        <w:rPr>
          <w:i/>
          <w:sz w:val="22"/>
        </w:rPr>
        <w:t xml:space="preserve">olicy research </w:t>
      </w:r>
      <w:r w:rsidR="00B03E30" w:rsidRPr="005D1845">
        <w:rPr>
          <w:sz w:val="22"/>
        </w:rPr>
        <w:t>working paper 3288, the World B</w:t>
      </w:r>
      <w:r w:rsidR="006426FC" w:rsidRPr="005D1845">
        <w:rPr>
          <w:sz w:val="22"/>
        </w:rPr>
        <w:t xml:space="preserve">ank. </w:t>
      </w:r>
    </w:p>
    <w:p w14:paraId="00CC3223" w14:textId="5CA4DCA0" w:rsidR="00B87AEA" w:rsidRPr="005D1845" w:rsidRDefault="00B87AEA" w:rsidP="00096C84">
      <w:pPr>
        <w:spacing w:after="0" w:line="240" w:lineRule="auto"/>
        <w:ind w:left="45" w:right="530"/>
        <w:rPr>
          <w:sz w:val="22"/>
        </w:rPr>
      </w:pPr>
    </w:p>
    <w:p w14:paraId="3DB13AF7" w14:textId="7B306F0F" w:rsidR="00B87AEA" w:rsidRPr="005D1845" w:rsidRDefault="00B87AEA" w:rsidP="00096C84">
      <w:pPr>
        <w:spacing w:after="0" w:line="240" w:lineRule="auto"/>
        <w:ind w:left="45" w:right="530"/>
        <w:rPr>
          <w:sz w:val="22"/>
        </w:rPr>
      </w:pPr>
      <w:r w:rsidRPr="005D1845">
        <w:rPr>
          <w:sz w:val="22"/>
        </w:rPr>
        <w:t>Dornbusch, R. (1991)</w:t>
      </w:r>
      <w:r w:rsidR="00F826D6" w:rsidRPr="005D1845">
        <w:rPr>
          <w:sz w:val="22"/>
        </w:rPr>
        <w:t>.</w:t>
      </w:r>
      <w:r w:rsidRPr="005D1845">
        <w:rPr>
          <w:sz w:val="22"/>
        </w:rPr>
        <w:t xml:space="preserve"> “La Macroeconomía de una Economía Abierta”, Ed. Antoni Bosch, Barcelona. </w:t>
      </w:r>
    </w:p>
    <w:p w14:paraId="526412F0" w14:textId="1F71A7D8" w:rsidR="00376BC6" w:rsidRPr="005D1845" w:rsidRDefault="00376BC6" w:rsidP="00096C84">
      <w:pPr>
        <w:spacing w:after="0" w:line="240" w:lineRule="auto"/>
        <w:ind w:left="50" w:right="0" w:firstLine="0"/>
        <w:jc w:val="left"/>
        <w:rPr>
          <w:sz w:val="22"/>
        </w:rPr>
      </w:pPr>
    </w:p>
    <w:p w14:paraId="3F16DB19" w14:textId="34FD6229" w:rsidR="001F1ED3" w:rsidRPr="005D1845" w:rsidRDefault="00591E0E" w:rsidP="00096C84">
      <w:pPr>
        <w:spacing w:after="0" w:line="240" w:lineRule="auto"/>
        <w:ind w:left="45" w:right="527" w:hanging="11"/>
        <w:rPr>
          <w:sz w:val="22"/>
        </w:rPr>
      </w:pPr>
      <w:r w:rsidRPr="005D1845">
        <w:rPr>
          <w:sz w:val="22"/>
        </w:rPr>
        <w:t>Dominguez K. M. y J. F</w:t>
      </w:r>
      <w:r w:rsidR="000F6399" w:rsidRPr="005D1845">
        <w:rPr>
          <w:sz w:val="22"/>
        </w:rPr>
        <w:t>rankel (1993), “D</w:t>
      </w:r>
      <w:r w:rsidR="006426FC" w:rsidRPr="005D1845">
        <w:rPr>
          <w:sz w:val="22"/>
        </w:rPr>
        <w:t xml:space="preserve">oes foreign exchange intervention matter? the portfolio effect”, </w:t>
      </w:r>
      <w:r w:rsidR="007C137F" w:rsidRPr="005D1845">
        <w:rPr>
          <w:sz w:val="22"/>
        </w:rPr>
        <w:t>American</w:t>
      </w:r>
      <w:r w:rsidR="00BF47BC" w:rsidRPr="005D1845">
        <w:rPr>
          <w:sz w:val="22"/>
        </w:rPr>
        <w:t xml:space="preserve"> Economic R</w:t>
      </w:r>
      <w:r w:rsidR="00AC02A6" w:rsidRPr="005D1845">
        <w:rPr>
          <w:sz w:val="22"/>
        </w:rPr>
        <w:t>eview, nro</w:t>
      </w:r>
      <w:r w:rsidR="004F3F42" w:rsidRPr="005D1845">
        <w:rPr>
          <w:sz w:val="22"/>
        </w:rPr>
        <w:t>. 83</w:t>
      </w:r>
      <w:r w:rsidR="0046744A" w:rsidRPr="005D1845">
        <w:rPr>
          <w:sz w:val="22"/>
        </w:rPr>
        <w:t>.</w:t>
      </w:r>
    </w:p>
    <w:p w14:paraId="34BAD850" w14:textId="54091128" w:rsidR="001F1ED3" w:rsidRPr="005D1845" w:rsidRDefault="001F1ED3" w:rsidP="00F84EA8">
      <w:pPr>
        <w:spacing w:after="0" w:line="240" w:lineRule="auto"/>
        <w:ind w:left="0" w:right="527" w:firstLine="0"/>
        <w:rPr>
          <w:sz w:val="22"/>
        </w:rPr>
      </w:pPr>
    </w:p>
    <w:p w14:paraId="39DCF687" w14:textId="6462ED0A" w:rsidR="00376BC6" w:rsidRPr="005D1845" w:rsidRDefault="00591E0E" w:rsidP="00096C84">
      <w:pPr>
        <w:spacing w:after="0" w:line="240" w:lineRule="auto"/>
        <w:ind w:left="45" w:right="530"/>
        <w:rPr>
          <w:sz w:val="22"/>
        </w:rPr>
      </w:pPr>
      <w:r w:rsidRPr="005D1845">
        <w:rPr>
          <w:sz w:val="22"/>
        </w:rPr>
        <w:t>Eichengreen, B</w:t>
      </w:r>
      <w:r w:rsidR="00F826D6" w:rsidRPr="005D1845">
        <w:rPr>
          <w:sz w:val="22"/>
        </w:rPr>
        <w:t>. (2002).</w:t>
      </w:r>
      <w:r w:rsidR="000F6399" w:rsidRPr="005D1845">
        <w:rPr>
          <w:sz w:val="22"/>
        </w:rPr>
        <w:t xml:space="preserve"> “C</w:t>
      </w:r>
      <w:r w:rsidR="007204B5" w:rsidRPr="005D1845">
        <w:rPr>
          <w:sz w:val="22"/>
        </w:rPr>
        <w:t>an Emerging Markets F</w:t>
      </w:r>
      <w:r w:rsidR="006426FC" w:rsidRPr="005D1845">
        <w:rPr>
          <w:sz w:val="22"/>
        </w:rPr>
        <w:t>loat? s</w:t>
      </w:r>
      <w:r w:rsidR="00FB1B81" w:rsidRPr="005D1845">
        <w:rPr>
          <w:sz w:val="22"/>
        </w:rPr>
        <w:t>hould they inflation target?”, Banco C</w:t>
      </w:r>
      <w:r w:rsidR="006426FC" w:rsidRPr="005D1845">
        <w:rPr>
          <w:sz w:val="22"/>
        </w:rPr>
        <w:t>ent</w:t>
      </w:r>
      <w:r w:rsidR="00FB1B81" w:rsidRPr="005D1845">
        <w:rPr>
          <w:sz w:val="22"/>
        </w:rPr>
        <w:t>ral do B</w:t>
      </w:r>
      <w:r w:rsidR="006426FC" w:rsidRPr="005D1845">
        <w:rPr>
          <w:sz w:val="22"/>
        </w:rPr>
        <w:t>rasil</w:t>
      </w:r>
      <w:r w:rsidR="006A0029" w:rsidRPr="005D1845">
        <w:rPr>
          <w:sz w:val="22"/>
        </w:rPr>
        <w:t>, working papers series, pp.</w:t>
      </w:r>
      <w:r w:rsidR="006426FC" w:rsidRPr="005D1845">
        <w:rPr>
          <w:sz w:val="22"/>
        </w:rPr>
        <w:t xml:space="preserve">1-46. </w:t>
      </w:r>
    </w:p>
    <w:p w14:paraId="64CD29D4" w14:textId="77777777" w:rsidR="00F84EA8" w:rsidRPr="005D1845" w:rsidRDefault="00F84EA8" w:rsidP="00096C84">
      <w:pPr>
        <w:spacing w:after="0" w:line="240" w:lineRule="auto"/>
        <w:ind w:left="45" w:right="527" w:hanging="11"/>
        <w:rPr>
          <w:sz w:val="22"/>
        </w:rPr>
      </w:pPr>
    </w:p>
    <w:p w14:paraId="6CEA683D" w14:textId="56250211" w:rsidR="00376BC6" w:rsidRPr="005D1845" w:rsidRDefault="00591E0E" w:rsidP="00096C84">
      <w:pPr>
        <w:spacing w:after="0" w:line="240" w:lineRule="auto"/>
        <w:ind w:left="45" w:right="527" w:hanging="11"/>
        <w:rPr>
          <w:sz w:val="22"/>
        </w:rPr>
      </w:pPr>
      <w:r w:rsidRPr="005D1845">
        <w:rPr>
          <w:sz w:val="22"/>
        </w:rPr>
        <w:t>Edwards, S</w:t>
      </w:r>
      <w:r w:rsidR="000F6399" w:rsidRPr="005D1845">
        <w:rPr>
          <w:sz w:val="22"/>
        </w:rPr>
        <w:t>. (2007). “T</w:t>
      </w:r>
      <w:r w:rsidR="007204B5" w:rsidRPr="005D1845">
        <w:rPr>
          <w:sz w:val="22"/>
        </w:rPr>
        <w:t>he Relationship between Exchange Rates and I</w:t>
      </w:r>
      <w:r w:rsidR="006426FC" w:rsidRPr="005D1845">
        <w:rPr>
          <w:sz w:val="22"/>
        </w:rPr>
        <w:t>nfl</w:t>
      </w:r>
      <w:r w:rsidR="007204B5" w:rsidRPr="005D1845">
        <w:rPr>
          <w:sz w:val="22"/>
        </w:rPr>
        <w:t>ation Targeting R</w:t>
      </w:r>
      <w:r w:rsidR="00965458" w:rsidRPr="005D1845">
        <w:rPr>
          <w:sz w:val="22"/>
        </w:rPr>
        <w:t>evisited”, en F. Mishkin y K. Schmidt-H</w:t>
      </w:r>
      <w:r w:rsidR="006426FC" w:rsidRPr="005D1845">
        <w:rPr>
          <w:sz w:val="22"/>
        </w:rPr>
        <w:t xml:space="preserve">ebbel (eds.), </w:t>
      </w:r>
      <w:r w:rsidR="00965458" w:rsidRPr="005D1845">
        <w:rPr>
          <w:i/>
          <w:sz w:val="22"/>
        </w:rPr>
        <w:t>Monetary Policy under Inflation T</w:t>
      </w:r>
      <w:r w:rsidR="006426FC" w:rsidRPr="005D1845">
        <w:rPr>
          <w:i/>
          <w:sz w:val="22"/>
        </w:rPr>
        <w:t xml:space="preserve">argeting, </w:t>
      </w:r>
      <w:r w:rsidR="00E71A87" w:rsidRPr="005D1845">
        <w:rPr>
          <w:sz w:val="22"/>
        </w:rPr>
        <w:t>Banco Central de Chile, S</w:t>
      </w:r>
      <w:r w:rsidR="006426FC" w:rsidRPr="005D1845">
        <w:rPr>
          <w:sz w:val="22"/>
        </w:rPr>
        <w:t xml:space="preserve">antiago. </w:t>
      </w:r>
    </w:p>
    <w:p w14:paraId="4277D878" w14:textId="77777777" w:rsidR="00B87AEA" w:rsidRPr="005D1845" w:rsidRDefault="00B87AEA" w:rsidP="00096C84">
      <w:pPr>
        <w:spacing w:after="0" w:line="240" w:lineRule="auto"/>
        <w:ind w:left="45" w:right="527" w:hanging="11"/>
        <w:rPr>
          <w:sz w:val="22"/>
        </w:rPr>
      </w:pPr>
    </w:p>
    <w:p w14:paraId="2C3FB43E" w14:textId="04C0AF91" w:rsidR="00B87AEA" w:rsidRPr="005D1845" w:rsidRDefault="00B87AEA" w:rsidP="00096C84">
      <w:pPr>
        <w:spacing w:after="0" w:line="240" w:lineRule="auto"/>
        <w:ind w:left="45" w:right="530"/>
        <w:rPr>
          <w:sz w:val="22"/>
        </w:rPr>
      </w:pPr>
      <w:r w:rsidRPr="005D1845">
        <w:rPr>
          <w:sz w:val="22"/>
        </w:rPr>
        <w:t>Engle, R.F. (1982). “Autoregressive Conditional Heteroskedasticity with</w:t>
      </w:r>
      <w:r w:rsidR="00F826D6" w:rsidRPr="005D1845">
        <w:rPr>
          <w:sz w:val="22"/>
        </w:rPr>
        <w:t xml:space="preserve"> estimates of Variance of U.K. I</w:t>
      </w:r>
      <w:r w:rsidRPr="005D1845">
        <w:rPr>
          <w:sz w:val="22"/>
        </w:rPr>
        <w:t xml:space="preserve">nflation”. </w:t>
      </w:r>
      <w:r w:rsidRPr="005D1845">
        <w:rPr>
          <w:i/>
          <w:sz w:val="22"/>
        </w:rPr>
        <w:t>Econometrica</w:t>
      </w:r>
      <w:r w:rsidRPr="005D1845">
        <w:rPr>
          <w:sz w:val="22"/>
        </w:rPr>
        <w:t xml:space="preserve">, </w:t>
      </w:r>
      <w:r w:rsidR="0046744A" w:rsidRPr="005D1845">
        <w:rPr>
          <w:sz w:val="22"/>
        </w:rPr>
        <w:t xml:space="preserve">nro. </w:t>
      </w:r>
      <w:r w:rsidRPr="005D1845">
        <w:rPr>
          <w:sz w:val="22"/>
        </w:rPr>
        <w:t>50,</w:t>
      </w:r>
      <w:r w:rsidR="0046744A" w:rsidRPr="005D1845">
        <w:rPr>
          <w:sz w:val="22"/>
        </w:rPr>
        <w:t xml:space="preserve"> pp.</w:t>
      </w:r>
      <w:r w:rsidRPr="005D1845">
        <w:rPr>
          <w:sz w:val="22"/>
        </w:rPr>
        <w:t xml:space="preserve"> 987-1007.  </w:t>
      </w:r>
    </w:p>
    <w:p w14:paraId="06BEE266" w14:textId="77777777" w:rsidR="00096C84" w:rsidRPr="005D1845" w:rsidRDefault="00096C84" w:rsidP="00096C84">
      <w:pPr>
        <w:spacing w:after="0" w:line="240" w:lineRule="auto"/>
        <w:ind w:left="45" w:right="530"/>
        <w:rPr>
          <w:sz w:val="22"/>
        </w:rPr>
      </w:pPr>
    </w:p>
    <w:p w14:paraId="22F27F60" w14:textId="3767D439" w:rsidR="00B87AEA" w:rsidRPr="005D1845" w:rsidRDefault="00B87AEA" w:rsidP="00096C84">
      <w:pPr>
        <w:spacing w:after="0" w:line="240" w:lineRule="auto"/>
        <w:ind w:left="45" w:right="530"/>
        <w:rPr>
          <w:sz w:val="22"/>
        </w:rPr>
      </w:pPr>
      <w:r w:rsidRPr="005D1845">
        <w:rPr>
          <w:sz w:val="22"/>
        </w:rPr>
        <w:t xml:space="preserve">Enders, W. (2009), “Applied Econometric Time Series”, Wiley. USA. </w:t>
      </w:r>
    </w:p>
    <w:p w14:paraId="2E187520" w14:textId="77777777" w:rsidR="00E046A0" w:rsidRPr="005D1845" w:rsidRDefault="00E046A0" w:rsidP="00E046A0">
      <w:pPr>
        <w:spacing w:after="0" w:line="240" w:lineRule="auto"/>
        <w:ind w:left="45" w:right="527" w:hanging="11"/>
        <w:rPr>
          <w:sz w:val="22"/>
        </w:rPr>
      </w:pPr>
    </w:p>
    <w:p w14:paraId="4CF4D4BB" w14:textId="600E2F02" w:rsidR="00E046A0" w:rsidRPr="005D1845" w:rsidRDefault="00A36DCE" w:rsidP="00E046A0">
      <w:pPr>
        <w:spacing w:after="0" w:line="240" w:lineRule="auto"/>
        <w:ind w:left="45" w:right="527" w:hanging="11"/>
        <w:rPr>
          <w:sz w:val="22"/>
        </w:rPr>
      </w:pPr>
      <w:r w:rsidRPr="005D1845">
        <w:rPr>
          <w:sz w:val="22"/>
        </w:rPr>
        <w:t>Fama, E. F. (1970). “E Cient Capital Markets: A Review of Theory and E</w:t>
      </w:r>
      <w:r w:rsidR="00E046A0" w:rsidRPr="005D1845">
        <w:rPr>
          <w:sz w:val="22"/>
        </w:rPr>
        <w:t xml:space="preserve">mpirical </w:t>
      </w:r>
      <w:r w:rsidRPr="005D1845">
        <w:rPr>
          <w:sz w:val="22"/>
        </w:rPr>
        <w:t>W</w:t>
      </w:r>
      <w:r w:rsidR="00E046A0" w:rsidRPr="005D1845">
        <w:rPr>
          <w:sz w:val="22"/>
        </w:rPr>
        <w:t xml:space="preserve">ork”. The Journal of Finance 25(2), pp. 383-417. </w:t>
      </w:r>
    </w:p>
    <w:p w14:paraId="6791F54E" w14:textId="77777777" w:rsidR="00E046A0" w:rsidRPr="005D1845" w:rsidRDefault="00E046A0" w:rsidP="00E046A0">
      <w:pPr>
        <w:spacing w:after="0" w:line="240" w:lineRule="auto"/>
        <w:ind w:left="45" w:right="527" w:hanging="11"/>
        <w:rPr>
          <w:sz w:val="22"/>
        </w:rPr>
      </w:pPr>
    </w:p>
    <w:p w14:paraId="657C9656" w14:textId="77777777" w:rsidR="00E046A0" w:rsidRPr="005D1845" w:rsidRDefault="00E046A0" w:rsidP="00E046A0">
      <w:pPr>
        <w:spacing w:after="0" w:line="240" w:lineRule="auto"/>
        <w:ind w:left="45" w:right="527" w:hanging="11"/>
        <w:rPr>
          <w:sz w:val="22"/>
        </w:rPr>
      </w:pPr>
      <w:r w:rsidRPr="005D1845">
        <w:rPr>
          <w:sz w:val="22"/>
        </w:rPr>
        <w:t>Favero, Carlo A., y Francesco Giavazzi (2004), “Inflation Targeting and Debt: Lessons from Brazil”, NBER Working Papers, núm. 10 390, Massachusetts, NBER, marzo, pp. 1-21.</w:t>
      </w:r>
    </w:p>
    <w:p w14:paraId="254570A4" w14:textId="77777777" w:rsidR="00096C84" w:rsidRPr="005D1845" w:rsidRDefault="00096C84" w:rsidP="00096C84">
      <w:pPr>
        <w:spacing w:after="0" w:line="240" w:lineRule="auto"/>
        <w:ind w:left="45" w:right="530"/>
        <w:rPr>
          <w:sz w:val="22"/>
        </w:rPr>
      </w:pPr>
    </w:p>
    <w:p w14:paraId="7E0CB9A8" w14:textId="0581533E" w:rsidR="008737FF" w:rsidRPr="005D1845" w:rsidRDefault="008737FF" w:rsidP="00E046A0">
      <w:pPr>
        <w:spacing w:after="0" w:line="240" w:lineRule="auto"/>
        <w:ind w:left="45" w:right="530"/>
        <w:rPr>
          <w:sz w:val="22"/>
        </w:rPr>
      </w:pPr>
      <w:r w:rsidRPr="005D1845">
        <w:rPr>
          <w:sz w:val="22"/>
        </w:rPr>
        <w:t xml:space="preserve">Fisher I. (1933). “The Debt-Deflation Theory of Great Depressions”, </w:t>
      </w:r>
      <w:r w:rsidRPr="005D1845">
        <w:rPr>
          <w:i/>
          <w:sz w:val="22"/>
        </w:rPr>
        <w:t>Econometrica</w:t>
      </w:r>
      <w:r w:rsidRPr="005D1845">
        <w:rPr>
          <w:sz w:val="22"/>
        </w:rPr>
        <w:t>,</w:t>
      </w:r>
      <w:r w:rsidR="00E046A0" w:rsidRPr="005D1845">
        <w:rPr>
          <w:sz w:val="22"/>
        </w:rPr>
        <w:t xml:space="preserve"> Vol. 1, No. 4, pp. 337-357</w:t>
      </w:r>
    </w:p>
    <w:p w14:paraId="23A13185" w14:textId="77777777" w:rsidR="008737FF" w:rsidRPr="005D1845" w:rsidRDefault="008737FF" w:rsidP="008737FF">
      <w:pPr>
        <w:spacing w:after="0" w:line="240" w:lineRule="auto"/>
        <w:ind w:left="45" w:right="530"/>
        <w:rPr>
          <w:sz w:val="22"/>
        </w:rPr>
      </w:pPr>
    </w:p>
    <w:p w14:paraId="0F5DD7D4" w14:textId="3042026A" w:rsidR="00FD585C" w:rsidRPr="005D1845" w:rsidRDefault="00FD585C" w:rsidP="00096C84">
      <w:pPr>
        <w:spacing w:after="0" w:line="240" w:lineRule="auto"/>
        <w:ind w:left="45" w:right="530"/>
        <w:rPr>
          <w:sz w:val="22"/>
          <w:lang w:val="es-BO"/>
        </w:rPr>
      </w:pPr>
      <w:r w:rsidRPr="005D1845">
        <w:rPr>
          <w:sz w:val="22"/>
          <w:lang w:val="es-BO"/>
        </w:rPr>
        <w:t xml:space="preserve">Fraga, A., i. Goldfajn y A. Minella (2003), “Inflation </w:t>
      </w:r>
      <w:r w:rsidR="00980D9A" w:rsidRPr="005D1845">
        <w:rPr>
          <w:sz w:val="22"/>
          <w:lang w:val="es-BO"/>
        </w:rPr>
        <w:t>Targeting in Emerging M</w:t>
      </w:r>
      <w:r w:rsidRPr="005D1845">
        <w:rPr>
          <w:sz w:val="22"/>
          <w:lang w:val="es-BO"/>
        </w:rPr>
        <w:t xml:space="preserve">arket </w:t>
      </w:r>
      <w:r w:rsidR="00980D9A" w:rsidRPr="005D1845">
        <w:rPr>
          <w:sz w:val="22"/>
          <w:lang w:val="es-BO"/>
        </w:rPr>
        <w:t>E</w:t>
      </w:r>
      <w:r w:rsidRPr="005D1845">
        <w:rPr>
          <w:sz w:val="22"/>
          <w:lang w:val="es-BO"/>
        </w:rPr>
        <w:t xml:space="preserve">conomies,” trabalho para discussao nro. 76, Banco Central do Brasil, Brasilia, junho, resumo texto completo. </w:t>
      </w:r>
    </w:p>
    <w:p w14:paraId="68356781" w14:textId="77777777" w:rsidR="00096C84" w:rsidRPr="005D1845" w:rsidRDefault="00096C84" w:rsidP="00096C84">
      <w:pPr>
        <w:spacing w:after="0" w:line="240" w:lineRule="auto"/>
        <w:ind w:left="45" w:right="530"/>
        <w:rPr>
          <w:sz w:val="22"/>
          <w:lang w:val="es-BO"/>
        </w:rPr>
      </w:pPr>
    </w:p>
    <w:p w14:paraId="1E2DA600" w14:textId="241943E8" w:rsidR="00FD585C" w:rsidRPr="005D1845" w:rsidRDefault="00F826D6" w:rsidP="00096C84">
      <w:pPr>
        <w:spacing w:after="0" w:line="240" w:lineRule="auto"/>
        <w:ind w:left="45" w:right="530"/>
        <w:rPr>
          <w:sz w:val="22"/>
          <w:lang w:val="es-BO"/>
        </w:rPr>
      </w:pPr>
      <w:r w:rsidRPr="005D1845">
        <w:rPr>
          <w:sz w:val="22"/>
          <w:lang w:val="es-BO"/>
        </w:rPr>
        <w:t>Frenkel R. (2007). “La S</w:t>
      </w:r>
      <w:r w:rsidR="00FD585C" w:rsidRPr="005D1845">
        <w:rPr>
          <w:sz w:val="22"/>
          <w:lang w:val="es-BO"/>
        </w:rPr>
        <w:t>ostenibil</w:t>
      </w:r>
      <w:r w:rsidRPr="005D1845">
        <w:rPr>
          <w:sz w:val="22"/>
          <w:lang w:val="es-BO"/>
        </w:rPr>
        <w:t>idad de la Política de Esterilización”, Centro de Economía y Finanzas para el Desarrollo de la A</w:t>
      </w:r>
      <w:r w:rsidR="00FD585C" w:rsidRPr="005D1845">
        <w:rPr>
          <w:sz w:val="22"/>
          <w:lang w:val="es-BO"/>
        </w:rPr>
        <w:t xml:space="preserve">rgentina (Cefidar). Documento de trabajo no. 17. </w:t>
      </w:r>
    </w:p>
    <w:p w14:paraId="78455EEB" w14:textId="0F071323" w:rsidR="00FD585C" w:rsidRPr="005D1845" w:rsidRDefault="00FD585C" w:rsidP="00E046A0">
      <w:pPr>
        <w:spacing w:after="0" w:line="240" w:lineRule="auto"/>
        <w:ind w:left="0" w:right="530" w:firstLine="0"/>
        <w:rPr>
          <w:sz w:val="22"/>
          <w:lang w:val="es-BO"/>
        </w:rPr>
      </w:pPr>
    </w:p>
    <w:p w14:paraId="18574719" w14:textId="5C2C8770" w:rsidR="00FD585C" w:rsidRPr="005D1845" w:rsidRDefault="00AC02A6" w:rsidP="00096C84">
      <w:pPr>
        <w:spacing w:after="0" w:line="240" w:lineRule="auto"/>
        <w:ind w:left="45" w:right="530"/>
        <w:rPr>
          <w:sz w:val="22"/>
        </w:rPr>
      </w:pPr>
      <w:r w:rsidRPr="005D1845">
        <w:rPr>
          <w:sz w:val="22"/>
          <w:lang w:val="es-BO"/>
        </w:rPr>
        <w:t xml:space="preserve">Frinpong, J. y Oteng, E. F. </w:t>
      </w:r>
      <w:r w:rsidR="00FD585C" w:rsidRPr="005D1845">
        <w:rPr>
          <w:sz w:val="22"/>
          <w:lang w:val="es-BO"/>
        </w:rPr>
        <w:t xml:space="preserve">(2006). </w:t>
      </w:r>
      <w:r w:rsidR="00FD585C" w:rsidRPr="005D1845">
        <w:rPr>
          <w:sz w:val="22"/>
        </w:rPr>
        <w:t>"Aggregate Import D</w:t>
      </w:r>
      <w:r w:rsidR="00F826D6" w:rsidRPr="005D1845">
        <w:rPr>
          <w:sz w:val="22"/>
        </w:rPr>
        <w:t>emand and Expenditure C</w:t>
      </w:r>
      <w:r w:rsidR="00FD585C" w:rsidRPr="005D1845">
        <w:rPr>
          <w:sz w:val="22"/>
        </w:rPr>
        <w:t>omponents in Ghana: An Econometric Analysis”.</w:t>
      </w:r>
    </w:p>
    <w:p w14:paraId="674F48F2" w14:textId="77777777" w:rsidR="00FD585C" w:rsidRPr="005D1845" w:rsidRDefault="00FD585C" w:rsidP="00096C84">
      <w:pPr>
        <w:spacing w:after="0" w:line="240" w:lineRule="auto"/>
        <w:ind w:left="45" w:right="530"/>
        <w:rPr>
          <w:sz w:val="22"/>
        </w:rPr>
      </w:pPr>
    </w:p>
    <w:p w14:paraId="026ABBB5" w14:textId="515AA2BD" w:rsidR="00FD585C" w:rsidRPr="005D1845" w:rsidRDefault="00AC02A6" w:rsidP="00096C84">
      <w:pPr>
        <w:spacing w:after="0" w:line="240" w:lineRule="auto"/>
        <w:ind w:left="45" w:right="530"/>
        <w:rPr>
          <w:sz w:val="22"/>
        </w:rPr>
      </w:pPr>
      <w:r w:rsidRPr="005D1845">
        <w:rPr>
          <w:sz w:val="22"/>
        </w:rPr>
        <w:t xml:space="preserve">Friedman, M., (1968). </w:t>
      </w:r>
      <w:r w:rsidR="00FD585C" w:rsidRPr="005D1845">
        <w:rPr>
          <w:sz w:val="22"/>
        </w:rPr>
        <w:t xml:space="preserve">“The Role of Monetary Policy”. </w:t>
      </w:r>
      <w:r w:rsidR="00FD585C" w:rsidRPr="005D1845">
        <w:rPr>
          <w:i/>
          <w:sz w:val="22"/>
        </w:rPr>
        <w:t xml:space="preserve">American Economic Review, </w:t>
      </w:r>
      <w:r w:rsidR="00FD585C" w:rsidRPr="005D1845">
        <w:rPr>
          <w:sz w:val="22"/>
        </w:rPr>
        <w:t>Marzo, Volumen 58, pp. 1-17.</w:t>
      </w:r>
    </w:p>
    <w:p w14:paraId="2FC6EF25" w14:textId="77777777" w:rsidR="00FD585C" w:rsidRPr="005D1845" w:rsidRDefault="00FD585C" w:rsidP="00096C84">
      <w:pPr>
        <w:spacing w:after="0" w:line="240" w:lineRule="auto"/>
        <w:ind w:left="0" w:right="527" w:firstLine="0"/>
        <w:rPr>
          <w:sz w:val="22"/>
        </w:rPr>
      </w:pPr>
    </w:p>
    <w:p w14:paraId="7DD136B4" w14:textId="28086BE3" w:rsidR="00FD585C" w:rsidRPr="005D1845" w:rsidRDefault="00FD585C" w:rsidP="00096C84">
      <w:pPr>
        <w:spacing w:after="0" w:line="240" w:lineRule="auto"/>
        <w:ind w:right="530"/>
        <w:rPr>
          <w:sz w:val="22"/>
          <w:lang w:val="es-BO"/>
        </w:rPr>
      </w:pPr>
      <w:r w:rsidRPr="005D1845">
        <w:rPr>
          <w:sz w:val="22"/>
          <w:lang w:val="es-BO"/>
        </w:rPr>
        <w:t>Galán, j., e. Loría y J. Ra</w:t>
      </w:r>
      <w:r w:rsidR="000D24C8" w:rsidRPr="005D1845">
        <w:rPr>
          <w:sz w:val="22"/>
          <w:lang w:val="es-BO"/>
        </w:rPr>
        <w:t>mírez (2010).</w:t>
      </w:r>
      <w:r w:rsidRPr="005D1845">
        <w:rPr>
          <w:sz w:val="22"/>
          <w:lang w:val="es-BO"/>
        </w:rPr>
        <w:t xml:space="preserve"> </w:t>
      </w:r>
      <w:r w:rsidRPr="005D1845">
        <w:rPr>
          <w:i/>
          <w:sz w:val="22"/>
          <w:lang w:val="es-BO"/>
        </w:rPr>
        <w:t>“</w:t>
      </w:r>
      <w:r w:rsidRPr="005D1845">
        <w:rPr>
          <w:sz w:val="22"/>
          <w:lang w:val="es-BO"/>
        </w:rPr>
        <w:t>La política monetaria y la inflación al revés</w:t>
      </w:r>
      <w:r w:rsidRPr="005D1845">
        <w:rPr>
          <w:i/>
          <w:sz w:val="22"/>
          <w:lang w:val="es-BO"/>
        </w:rPr>
        <w:t>”,</w:t>
      </w:r>
      <w:r w:rsidR="004F3F42" w:rsidRPr="005D1845">
        <w:rPr>
          <w:sz w:val="22"/>
          <w:lang w:val="es-BO"/>
        </w:rPr>
        <w:t xml:space="preserve"> UNAM, Ciudad de México</w:t>
      </w:r>
      <w:r w:rsidRPr="005D1845">
        <w:rPr>
          <w:sz w:val="22"/>
          <w:lang w:val="es-BO"/>
        </w:rPr>
        <w:t xml:space="preserve">. </w:t>
      </w:r>
    </w:p>
    <w:p w14:paraId="1D94FEE6" w14:textId="77777777" w:rsidR="00096C84" w:rsidRPr="005D1845" w:rsidRDefault="00096C84" w:rsidP="00096C84">
      <w:pPr>
        <w:spacing w:after="0" w:line="240" w:lineRule="auto"/>
        <w:ind w:right="530"/>
        <w:rPr>
          <w:sz w:val="22"/>
          <w:lang w:val="es-BO"/>
        </w:rPr>
      </w:pPr>
    </w:p>
    <w:p w14:paraId="41808478" w14:textId="01D3B8E5" w:rsidR="00096C84" w:rsidRPr="005D1845" w:rsidRDefault="00FD585C" w:rsidP="0046744A">
      <w:pPr>
        <w:spacing w:after="0" w:line="240" w:lineRule="auto"/>
        <w:ind w:left="45" w:right="530"/>
        <w:rPr>
          <w:sz w:val="22"/>
        </w:rPr>
      </w:pPr>
      <w:r w:rsidRPr="005D1845">
        <w:rPr>
          <w:sz w:val="22"/>
          <w:lang w:val="es-BO"/>
        </w:rPr>
        <w:t>Galindo, l. y J</w:t>
      </w:r>
      <w:r w:rsidR="000D24C8" w:rsidRPr="005D1845">
        <w:rPr>
          <w:sz w:val="22"/>
          <w:lang w:val="es-BO"/>
        </w:rPr>
        <w:t>. Ros (2005).</w:t>
      </w:r>
      <w:r w:rsidRPr="005D1845">
        <w:rPr>
          <w:sz w:val="22"/>
          <w:lang w:val="es-BO"/>
        </w:rPr>
        <w:t xml:space="preserve"> </w:t>
      </w:r>
      <w:r w:rsidRPr="005D1845">
        <w:rPr>
          <w:sz w:val="22"/>
        </w:rPr>
        <w:t>“Inflation Targeting in Mexico: An Empirical Appraisal”, Working</w:t>
      </w:r>
      <w:r w:rsidR="0046744A" w:rsidRPr="005D1845">
        <w:rPr>
          <w:sz w:val="22"/>
        </w:rPr>
        <w:t xml:space="preserve"> paper.</w:t>
      </w:r>
    </w:p>
    <w:p w14:paraId="3268CA89" w14:textId="77777777" w:rsidR="000D344C" w:rsidRPr="005D1845" w:rsidRDefault="000D344C" w:rsidP="0046744A">
      <w:pPr>
        <w:spacing w:after="0" w:line="240" w:lineRule="auto"/>
        <w:ind w:left="45" w:right="530"/>
        <w:rPr>
          <w:sz w:val="22"/>
        </w:rPr>
      </w:pPr>
    </w:p>
    <w:p w14:paraId="6F9835C6" w14:textId="5D938A3F" w:rsidR="00FD585C" w:rsidRPr="005D1845" w:rsidRDefault="00AC02A6" w:rsidP="00096C84">
      <w:pPr>
        <w:spacing w:after="0" w:line="240" w:lineRule="auto"/>
        <w:ind w:left="45" w:right="530"/>
        <w:rPr>
          <w:sz w:val="22"/>
          <w:lang w:val="es-BO"/>
        </w:rPr>
      </w:pPr>
      <w:r w:rsidRPr="005D1845">
        <w:rPr>
          <w:sz w:val="22"/>
          <w:lang w:val="es-BO"/>
        </w:rPr>
        <w:t>Galindo, l. y j. Ros (2006).</w:t>
      </w:r>
      <w:r w:rsidR="00FD585C" w:rsidRPr="005D1845">
        <w:rPr>
          <w:sz w:val="22"/>
          <w:lang w:val="es-BO"/>
        </w:rPr>
        <w:t xml:space="preserve"> “La Política Monetaria de Metas de Inflación”, </w:t>
      </w:r>
      <w:r w:rsidR="00FD585C" w:rsidRPr="005D1845">
        <w:rPr>
          <w:i/>
          <w:sz w:val="22"/>
          <w:lang w:val="es-BO"/>
        </w:rPr>
        <w:t>Economía</w:t>
      </w:r>
      <w:r w:rsidR="00FD585C" w:rsidRPr="005D1845">
        <w:rPr>
          <w:sz w:val="22"/>
          <w:lang w:val="es-BO"/>
        </w:rPr>
        <w:t xml:space="preserve">, </w:t>
      </w:r>
      <w:r w:rsidR="004F3F42" w:rsidRPr="005D1845">
        <w:rPr>
          <w:sz w:val="22"/>
          <w:lang w:val="es-BO"/>
        </w:rPr>
        <w:t>UNAM</w:t>
      </w:r>
      <w:r w:rsidRPr="005D1845">
        <w:rPr>
          <w:sz w:val="22"/>
          <w:lang w:val="es-BO"/>
        </w:rPr>
        <w:t xml:space="preserve">. vol. 3. nro. </w:t>
      </w:r>
      <w:r w:rsidR="00FD585C" w:rsidRPr="005D1845">
        <w:rPr>
          <w:sz w:val="22"/>
          <w:lang w:val="es-BO"/>
        </w:rPr>
        <w:t xml:space="preserve">9. </w:t>
      </w:r>
    </w:p>
    <w:p w14:paraId="01532F4F" w14:textId="59066776" w:rsidR="00096C84" w:rsidRPr="005D1845" w:rsidRDefault="00096C84" w:rsidP="00E046A0">
      <w:pPr>
        <w:spacing w:after="0" w:line="240" w:lineRule="auto"/>
        <w:ind w:left="0" w:right="530" w:firstLine="0"/>
        <w:rPr>
          <w:sz w:val="22"/>
          <w:lang w:val="es-BO"/>
        </w:rPr>
      </w:pPr>
    </w:p>
    <w:p w14:paraId="332C53D5" w14:textId="2D34DE69" w:rsidR="00B87AEA" w:rsidRPr="005D1845" w:rsidRDefault="00FD585C" w:rsidP="00096C84">
      <w:pPr>
        <w:spacing w:after="0" w:line="240" w:lineRule="auto"/>
        <w:ind w:left="45" w:right="530"/>
        <w:rPr>
          <w:sz w:val="22"/>
          <w:lang w:val="es-BO"/>
        </w:rPr>
      </w:pPr>
      <w:r w:rsidRPr="005D1845">
        <w:rPr>
          <w:sz w:val="22"/>
          <w:lang w:val="es-BO"/>
        </w:rPr>
        <w:t>Garcia, M. (2006), “El régimen de metas de inflación en Brasil, evalua</w:t>
      </w:r>
      <w:r w:rsidR="00906D38" w:rsidRPr="005D1845">
        <w:rPr>
          <w:sz w:val="22"/>
          <w:lang w:val="es-BO"/>
        </w:rPr>
        <w:t>ción y lecciones de política”, Departamento de E</w:t>
      </w:r>
      <w:r w:rsidRPr="005D1845">
        <w:rPr>
          <w:sz w:val="22"/>
          <w:lang w:val="es-BO"/>
        </w:rPr>
        <w:t xml:space="preserve">conomía, Pontificia Universidad Católica de Rio de Janeiro, Brasil. </w:t>
      </w:r>
    </w:p>
    <w:p w14:paraId="60451F36" w14:textId="77777777" w:rsidR="00096C84" w:rsidRPr="005D1845" w:rsidRDefault="00096C84" w:rsidP="00096C84">
      <w:pPr>
        <w:spacing w:after="0" w:line="240" w:lineRule="auto"/>
        <w:ind w:left="45" w:right="530"/>
        <w:rPr>
          <w:sz w:val="22"/>
          <w:lang w:val="es-BO"/>
        </w:rPr>
      </w:pPr>
    </w:p>
    <w:p w14:paraId="33A690AA" w14:textId="2FAFAE4E" w:rsidR="00B87AEA" w:rsidRPr="005D1845" w:rsidRDefault="00906D38" w:rsidP="00096C84">
      <w:pPr>
        <w:spacing w:after="0" w:line="240" w:lineRule="auto"/>
        <w:ind w:left="45" w:right="527" w:hanging="11"/>
        <w:rPr>
          <w:sz w:val="22"/>
          <w:lang w:val="es-BO"/>
        </w:rPr>
      </w:pPr>
      <w:r w:rsidRPr="005D1845">
        <w:rPr>
          <w:sz w:val="22"/>
          <w:lang w:val="es-BO"/>
        </w:rPr>
        <w:t xml:space="preserve">Gandolfo,  G.  (1997) </w:t>
      </w:r>
      <w:r w:rsidR="00B87AEA" w:rsidRPr="005D1845">
        <w:rPr>
          <w:sz w:val="22"/>
          <w:lang w:val="es-BO"/>
        </w:rPr>
        <w:t xml:space="preserve">“Economic  Dynamics”  Springer  Science  y  Business Media, </w:t>
      </w:r>
      <w:r w:rsidR="000D24C8" w:rsidRPr="005D1845">
        <w:rPr>
          <w:sz w:val="22"/>
          <w:lang w:val="es-BO"/>
        </w:rPr>
        <w:t>primera edición.</w:t>
      </w:r>
    </w:p>
    <w:p w14:paraId="01BEA907" w14:textId="27130531" w:rsidR="004C129F" w:rsidRPr="005D1845" w:rsidRDefault="004C129F" w:rsidP="00096C84">
      <w:pPr>
        <w:spacing w:after="0" w:line="240" w:lineRule="auto"/>
        <w:ind w:left="45" w:right="527" w:hanging="11"/>
        <w:rPr>
          <w:sz w:val="22"/>
          <w:lang w:val="es-BO"/>
        </w:rPr>
      </w:pPr>
    </w:p>
    <w:p w14:paraId="5BD3BA32" w14:textId="2F7426D5" w:rsidR="00E046A0" w:rsidRPr="005D1845" w:rsidRDefault="000D344C" w:rsidP="00364CFE">
      <w:pPr>
        <w:spacing w:after="0" w:line="240" w:lineRule="auto"/>
        <w:ind w:left="45" w:right="527" w:hanging="11"/>
        <w:rPr>
          <w:color w:val="auto"/>
          <w:sz w:val="22"/>
        </w:rPr>
      </w:pPr>
      <w:r w:rsidRPr="005D1845">
        <w:rPr>
          <w:color w:val="auto"/>
          <w:sz w:val="22"/>
          <w:lang w:val="es-BO"/>
        </w:rPr>
        <w:t xml:space="preserve">Guerrero de Lizardi, </w:t>
      </w:r>
      <w:r w:rsidR="004C129F" w:rsidRPr="005D1845">
        <w:rPr>
          <w:color w:val="auto"/>
          <w:sz w:val="22"/>
          <w:lang w:val="es-BO"/>
        </w:rPr>
        <w:t>C</w:t>
      </w:r>
      <w:r w:rsidRPr="005D1845">
        <w:rPr>
          <w:color w:val="auto"/>
          <w:sz w:val="22"/>
          <w:lang w:val="es-BO"/>
        </w:rPr>
        <w:t>. y Galindo, Luis. (2003).</w:t>
      </w:r>
      <w:r w:rsidR="004C129F" w:rsidRPr="005D1845">
        <w:rPr>
          <w:color w:val="auto"/>
          <w:sz w:val="22"/>
          <w:lang w:val="es-BO"/>
        </w:rPr>
        <w:t xml:space="preserve"> </w:t>
      </w:r>
      <w:r w:rsidRPr="005D1845">
        <w:rPr>
          <w:color w:val="auto"/>
          <w:sz w:val="22"/>
          <w:lang w:val="es-BO"/>
        </w:rPr>
        <w:t xml:space="preserve">“La Regla de Taylor para México:  Un Análisis Econométrico”, Revista Investigación Económica, Vol.  </w:t>
      </w:r>
      <w:r w:rsidRPr="005D1845">
        <w:rPr>
          <w:color w:val="auto"/>
          <w:sz w:val="22"/>
        </w:rPr>
        <w:t>LXII, 246, Octubre – diciembre de 2003.</w:t>
      </w:r>
    </w:p>
    <w:p w14:paraId="56654CAA" w14:textId="591D8066" w:rsidR="00E046A0" w:rsidRPr="005D1845" w:rsidRDefault="00E046A0" w:rsidP="00E046A0">
      <w:pPr>
        <w:spacing w:after="0" w:line="240" w:lineRule="auto"/>
        <w:ind w:left="45" w:right="530"/>
        <w:rPr>
          <w:sz w:val="22"/>
        </w:rPr>
      </w:pPr>
      <w:r w:rsidRPr="005D1845">
        <w:rPr>
          <w:sz w:val="22"/>
        </w:rPr>
        <w:t xml:space="preserve">Goldfajn, i. y p. Gupta (2003), “Does Monetary Policy Stabilize the Exchange Rate Following a Currency Crisis”, IMF staff papers, 50(1), International Monetary Fund. </w:t>
      </w:r>
    </w:p>
    <w:p w14:paraId="0CBC208E" w14:textId="6EBAB06D" w:rsidR="00FD585C" w:rsidRPr="005D1845" w:rsidRDefault="00FD585C" w:rsidP="00E046A0">
      <w:pPr>
        <w:spacing w:after="0" w:line="240" w:lineRule="auto"/>
        <w:ind w:left="0" w:right="530" w:firstLine="0"/>
        <w:rPr>
          <w:sz w:val="22"/>
        </w:rPr>
      </w:pPr>
    </w:p>
    <w:p w14:paraId="2335E70D" w14:textId="6A304BA9" w:rsidR="00FD585C" w:rsidRPr="005D1845" w:rsidRDefault="00FD585C" w:rsidP="00096C84">
      <w:pPr>
        <w:spacing w:after="0" w:line="240" w:lineRule="auto"/>
        <w:ind w:left="45" w:right="530"/>
        <w:rPr>
          <w:sz w:val="22"/>
          <w:lang w:val="es-BO"/>
        </w:rPr>
      </w:pPr>
      <w:r w:rsidRPr="005D1845">
        <w:rPr>
          <w:sz w:val="22"/>
        </w:rPr>
        <w:t xml:space="preserve">Granger, C. W. J. </w:t>
      </w:r>
      <w:r w:rsidR="000D24C8" w:rsidRPr="005D1845">
        <w:rPr>
          <w:sz w:val="22"/>
        </w:rPr>
        <w:t>(1969).</w:t>
      </w:r>
      <w:r w:rsidRPr="005D1845">
        <w:rPr>
          <w:sz w:val="22"/>
        </w:rPr>
        <w:t xml:space="preserve"> “I</w:t>
      </w:r>
      <w:r w:rsidR="000D24C8" w:rsidRPr="005D1845">
        <w:rPr>
          <w:sz w:val="22"/>
        </w:rPr>
        <w:t>nvestigating Causal R</w:t>
      </w:r>
      <w:r w:rsidRPr="005D1845">
        <w:rPr>
          <w:sz w:val="22"/>
        </w:rPr>
        <w:t xml:space="preserve">elations by Econometric Models and cross Spectral Methods”. </w:t>
      </w:r>
      <w:r w:rsidRPr="005D1845">
        <w:rPr>
          <w:i/>
          <w:sz w:val="22"/>
          <w:lang w:val="es-BO"/>
        </w:rPr>
        <w:t>Econometrica</w:t>
      </w:r>
      <w:r w:rsidRPr="005D1845">
        <w:rPr>
          <w:sz w:val="22"/>
          <w:lang w:val="es-BO"/>
        </w:rPr>
        <w:t xml:space="preserve">. 37,424-438. </w:t>
      </w:r>
    </w:p>
    <w:p w14:paraId="65EDA979" w14:textId="77777777" w:rsidR="00FD585C" w:rsidRPr="005D1845" w:rsidRDefault="00FD585C" w:rsidP="00096C84">
      <w:pPr>
        <w:spacing w:after="0" w:line="240" w:lineRule="auto"/>
        <w:ind w:left="45" w:right="530"/>
        <w:rPr>
          <w:sz w:val="22"/>
          <w:lang w:val="es-BO"/>
        </w:rPr>
      </w:pPr>
    </w:p>
    <w:p w14:paraId="698B794C" w14:textId="71B92D68" w:rsidR="00FD585C" w:rsidRPr="005D1845" w:rsidRDefault="00FD585C" w:rsidP="00096C84">
      <w:pPr>
        <w:spacing w:after="0" w:line="240" w:lineRule="auto"/>
        <w:ind w:left="45" w:right="530"/>
        <w:rPr>
          <w:sz w:val="22"/>
          <w:lang w:val="es-BO"/>
        </w:rPr>
      </w:pPr>
      <w:r w:rsidRPr="005D1845">
        <w:rPr>
          <w:sz w:val="22"/>
          <w:lang w:val="es-BO"/>
        </w:rPr>
        <w:t>Greene, W</w:t>
      </w:r>
      <w:r w:rsidR="00906D38" w:rsidRPr="005D1845">
        <w:rPr>
          <w:sz w:val="22"/>
          <w:lang w:val="es-BO"/>
        </w:rPr>
        <w:t xml:space="preserve">. </w:t>
      </w:r>
      <w:r w:rsidR="000D24C8" w:rsidRPr="005D1845">
        <w:rPr>
          <w:sz w:val="22"/>
          <w:lang w:val="es-BO"/>
        </w:rPr>
        <w:t>(2011).</w:t>
      </w:r>
      <w:r w:rsidR="00906D38" w:rsidRPr="005D1845">
        <w:rPr>
          <w:sz w:val="22"/>
          <w:lang w:val="es-BO"/>
        </w:rPr>
        <w:t xml:space="preserve"> “Econometric A</w:t>
      </w:r>
      <w:r w:rsidRPr="005D1845">
        <w:rPr>
          <w:sz w:val="22"/>
          <w:lang w:val="es-BO"/>
        </w:rPr>
        <w:t xml:space="preserve">nalysis”, Prentice Hall, USA. </w:t>
      </w:r>
    </w:p>
    <w:p w14:paraId="24EA5FEF" w14:textId="3A26A423" w:rsidR="00B87AEA" w:rsidRPr="005D1845" w:rsidRDefault="00B87AEA" w:rsidP="00096C84">
      <w:pPr>
        <w:spacing w:after="0" w:line="240" w:lineRule="auto"/>
        <w:ind w:left="0" w:right="527" w:firstLine="0"/>
        <w:rPr>
          <w:sz w:val="22"/>
          <w:lang w:val="es-BO"/>
        </w:rPr>
      </w:pPr>
    </w:p>
    <w:p w14:paraId="7A9EBDF1" w14:textId="219E93D4" w:rsidR="008228B6" w:rsidRPr="005D1845" w:rsidRDefault="008228B6" w:rsidP="00096C84">
      <w:pPr>
        <w:spacing w:after="0" w:line="240" w:lineRule="auto"/>
        <w:ind w:left="45" w:right="527" w:hanging="11"/>
        <w:rPr>
          <w:sz w:val="22"/>
        </w:rPr>
      </w:pPr>
      <w:r w:rsidRPr="005D1845">
        <w:rPr>
          <w:sz w:val="22"/>
          <w:lang w:val="es-BO"/>
        </w:rPr>
        <w:t xml:space="preserve">Gómez-Puig, Marta y Montalvo, José G., (1997). </w:t>
      </w:r>
      <w:r w:rsidRPr="005D1845">
        <w:rPr>
          <w:sz w:val="22"/>
        </w:rPr>
        <w:t>"</w:t>
      </w:r>
      <w:hyperlink r:id="rId111" w:history="1">
        <w:r w:rsidR="007204B5" w:rsidRPr="005D1845">
          <w:rPr>
            <w:sz w:val="22"/>
          </w:rPr>
          <w:t>A New Indicator to Assess the C</w:t>
        </w:r>
        <w:r w:rsidRPr="005D1845">
          <w:rPr>
            <w:sz w:val="22"/>
          </w:rPr>
          <w:t>redibility of the EMS</w:t>
        </w:r>
      </w:hyperlink>
      <w:r w:rsidRPr="005D1845">
        <w:rPr>
          <w:sz w:val="22"/>
        </w:rPr>
        <w:t>," </w:t>
      </w:r>
      <w:hyperlink r:id="rId112" w:history="1">
        <w:r w:rsidRPr="005D1845">
          <w:rPr>
            <w:i/>
            <w:sz w:val="22"/>
          </w:rPr>
          <w:t>European Economic Review</w:t>
        </w:r>
      </w:hyperlink>
      <w:r w:rsidRPr="005D1845">
        <w:rPr>
          <w:sz w:val="22"/>
        </w:rPr>
        <w:t>, Elsevier, vol</w:t>
      </w:r>
      <w:r w:rsidR="000D24C8" w:rsidRPr="005D1845">
        <w:rPr>
          <w:sz w:val="22"/>
        </w:rPr>
        <w:t>. 41(8), pages 1511-1535</w:t>
      </w:r>
      <w:r w:rsidRPr="005D1845">
        <w:rPr>
          <w:sz w:val="22"/>
        </w:rPr>
        <w:t>.</w:t>
      </w:r>
    </w:p>
    <w:p w14:paraId="5B99F66B" w14:textId="77777777" w:rsidR="003F15F1" w:rsidRPr="005D1845" w:rsidRDefault="003F15F1" w:rsidP="00096C84">
      <w:pPr>
        <w:spacing w:after="0" w:line="240" w:lineRule="auto"/>
        <w:ind w:left="45" w:right="527" w:hanging="11"/>
        <w:rPr>
          <w:sz w:val="22"/>
        </w:rPr>
      </w:pPr>
    </w:p>
    <w:p w14:paraId="7796B647" w14:textId="197C33B1" w:rsidR="005815C1" w:rsidRPr="005D1845" w:rsidRDefault="003F15F1" w:rsidP="00096C84">
      <w:pPr>
        <w:spacing w:after="0" w:line="240" w:lineRule="auto"/>
        <w:ind w:left="45" w:right="527" w:hanging="11"/>
        <w:rPr>
          <w:sz w:val="22"/>
          <w:lang w:val="es-BO"/>
        </w:rPr>
      </w:pPr>
      <w:r w:rsidRPr="005D1845">
        <w:rPr>
          <w:sz w:val="22"/>
          <w:lang w:val="es-BO"/>
        </w:rPr>
        <w:t xml:space="preserve">Gómez, J. E.; Uribe, </w:t>
      </w:r>
      <w:r w:rsidR="00934E50" w:rsidRPr="005D1845">
        <w:rPr>
          <w:sz w:val="22"/>
          <w:lang w:val="es-BO"/>
        </w:rPr>
        <w:t xml:space="preserve">J. D. y </w:t>
      </w:r>
      <w:r w:rsidRPr="005D1845">
        <w:rPr>
          <w:sz w:val="22"/>
          <w:lang w:val="es-BO"/>
        </w:rPr>
        <w:t>Vargas, H.</w:t>
      </w:r>
      <w:r w:rsidR="007154AB" w:rsidRPr="005D1845">
        <w:rPr>
          <w:sz w:val="22"/>
          <w:lang w:val="es-BO"/>
        </w:rPr>
        <w:t xml:space="preserve"> </w:t>
      </w:r>
      <w:r w:rsidR="00934E50" w:rsidRPr="005D1845">
        <w:rPr>
          <w:sz w:val="22"/>
          <w:lang w:val="es-BO"/>
        </w:rPr>
        <w:t>(2002).</w:t>
      </w:r>
      <w:r w:rsidRPr="005D1845">
        <w:rPr>
          <w:sz w:val="22"/>
          <w:lang w:val="es-BO"/>
        </w:rPr>
        <w:t xml:space="preserve"> "The Implementation of Inflation Targeting in Colombia", Borradores de Economía, núm. 202, Banco de la República, 2002.</w:t>
      </w:r>
    </w:p>
    <w:p w14:paraId="76755B1B" w14:textId="77777777" w:rsidR="003F15F1" w:rsidRPr="005D1845" w:rsidRDefault="003F15F1" w:rsidP="00096C84">
      <w:pPr>
        <w:spacing w:after="0" w:line="240" w:lineRule="auto"/>
        <w:ind w:left="45" w:right="527" w:hanging="11"/>
        <w:rPr>
          <w:sz w:val="22"/>
          <w:lang w:val="es-BO"/>
        </w:rPr>
      </w:pPr>
    </w:p>
    <w:p w14:paraId="719970EB" w14:textId="438D0C75" w:rsidR="00FD585C" w:rsidRPr="005D1845" w:rsidRDefault="00591E0E" w:rsidP="00096C84">
      <w:pPr>
        <w:spacing w:after="0" w:line="240" w:lineRule="auto"/>
        <w:ind w:left="45" w:right="530"/>
        <w:rPr>
          <w:sz w:val="22"/>
        </w:rPr>
      </w:pPr>
      <w:r w:rsidRPr="005D1845">
        <w:rPr>
          <w:sz w:val="22"/>
        </w:rPr>
        <w:t>Glosten, L</w:t>
      </w:r>
      <w:r w:rsidR="006426FC" w:rsidRPr="005D1845">
        <w:rPr>
          <w:sz w:val="22"/>
        </w:rPr>
        <w:t>.</w:t>
      </w:r>
      <w:r w:rsidRPr="005D1845">
        <w:rPr>
          <w:sz w:val="22"/>
        </w:rPr>
        <w:t>R., Jagannathan, R. y Runkle, D.E</w:t>
      </w:r>
      <w:r w:rsidR="000F6399" w:rsidRPr="005D1845">
        <w:rPr>
          <w:sz w:val="22"/>
        </w:rPr>
        <w:t xml:space="preserve">. (1993). </w:t>
      </w:r>
      <w:r w:rsidR="007204B5" w:rsidRPr="005D1845">
        <w:rPr>
          <w:sz w:val="22"/>
        </w:rPr>
        <w:t>“</w:t>
      </w:r>
      <w:r w:rsidR="000F6399" w:rsidRPr="005D1845">
        <w:rPr>
          <w:sz w:val="22"/>
        </w:rPr>
        <w:t>O</w:t>
      </w:r>
      <w:r w:rsidR="006426FC" w:rsidRPr="005D1845">
        <w:rPr>
          <w:sz w:val="22"/>
        </w:rPr>
        <w:t>n the relation between the expected value and the volatility of the nominal excess return on stocks</w:t>
      </w:r>
      <w:r w:rsidR="007204B5" w:rsidRPr="005D1845">
        <w:rPr>
          <w:sz w:val="22"/>
        </w:rPr>
        <w:t>”</w:t>
      </w:r>
      <w:r w:rsidR="006426FC" w:rsidRPr="005D1845">
        <w:rPr>
          <w:sz w:val="22"/>
        </w:rPr>
        <w:t xml:space="preserve">. </w:t>
      </w:r>
      <w:r w:rsidR="005815C1" w:rsidRPr="005D1845">
        <w:rPr>
          <w:i/>
          <w:sz w:val="22"/>
        </w:rPr>
        <w:t>Journal of F</w:t>
      </w:r>
      <w:r w:rsidR="006426FC" w:rsidRPr="005D1845">
        <w:rPr>
          <w:i/>
          <w:sz w:val="22"/>
        </w:rPr>
        <w:t>inance</w:t>
      </w:r>
      <w:r w:rsidR="006426FC" w:rsidRPr="005D1845">
        <w:rPr>
          <w:sz w:val="22"/>
        </w:rPr>
        <w:t xml:space="preserve">, </w:t>
      </w:r>
      <w:r w:rsidR="007C137F" w:rsidRPr="005D1845">
        <w:rPr>
          <w:sz w:val="22"/>
        </w:rPr>
        <w:t>pp.</w:t>
      </w:r>
      <w:r w:rsidR="006426FC" w:rsidRPr="005D1845">
        <w:rPr>
          <w:sz w:val="22"/>
        </w:rPr>
        <w:t xml:space="preserve">1779-801.  </w:t>
      </w:r>
    </w:p>
    <w:p w14:paraId="03B058B2" w14:textId="77777777" w:rsidR="00F84EA8" w:rsidRPr="005D1845" w:rsidRDefault="00F84EA8" w:rsidP="00F84EA8">
      <w:pPr>
        <w:spacing w:after="0" w:line="240" w:lineRule="auto"/>
        <w:ind w:left="50" w:right="530" w:firstLine="0"/>
        <w:rPr>
          <w:sz w:val="22"/>
        </w:rPr>
      </w:pPr>
    </w:p>
    <w:p w14:paraId="6D2B993E" w14:textId="0116E538" w:rsidR="00F84EA8" w:rsidRPr="005D1845" w:rsidRDefault="00F84EA8" w:rsidP="005E6080">
      <w:pPr>
        <w:spacing w:after="0" w:line="240" w:lineRule="auto"/>
        <w:ind w:right="530"/>
        <w:rPr>
          <w:sz w:val="22"/>
        </w:rPr>
      </w:pPr>
      <w:r w:rsidRPr="005D1845">
        <w:rPr>
          <w:sz w:val="22"/>
        </w:rPr>
        <w:t>Guimaraes, R. y C. Karacadag (2004).” The Empirics of Foreign Exchange Intervention</w:t>
      </w:r>
      <w:r w:rsidR="005E6080" w:rsidRPr="005D1845">
        <w:rPr>
          <w:sz w:val="22"/>
        </w:rPr>
        <w:t xml:space="preserve"> </w:t>
      </w:r>
      <w:r w:rsidRPr="005D1845">
        <w:rPr>
          <w:sz w:val="22"/>
        </w:rPr>
        <w:t>in Emerging Market Countries: The cases of México and Turkey”. IMF, pp. 123.</w:t>
      </w:r>
    </w:p>
    <w:p w14:paraId="237CF3C1" w14:textId="77777777" w:rsidR="005E6080" w:rsidRPr="005D1845" w:rsidRDefault="005E6080" w:rsidP="00096C84">
      <w:pPr>
        <w:spacing w:after="0" w:line="240" w:lineRule="auto"/>
        <w:ind w:left="0" w:right="530" w:firstLine="0"/>
        <w:rPr>
          <w:sz w:val="22"/>
        </w:rPr>
      </w:pPr>
    </w:p>
    <w:p w14:paraId="54286576" w14:textId="058D943F" w:rsidR="00FD585C" w:rsidRPr="005D1845" w:rsidRDefault="00FD585C" w:rsidP="00096C84">
      <w:pPr>
        <w:spacing w:after="0" w:line="240" w:lineRule="auto"/>
        <w:ind w:left="0" w:right="530" w:firstLine="0"/>
        <w:rPr>
          <w:sz w:val="22"/>
        </w:rPr>
      </w:pPr>
      <w:r w:rsidRPr="005D1845">
        <w:rPr>
          <w:sz w:val="22"/>
        </w:rPr>
        <w:t xml:space="preserve">Hamilton, J. (1994): </w:t>
      </w:r>
      <w:r w:rsidRPr="005D1845">
        <w:rPr>
          <w:i/>
          <w:sz w:val="22"/>
        </w:rPr>
        <w:t>Times Series Analysis</w:t>
      </w:r>
      <w:r w:rsidRPr="005D1845">
        <w:rPr>
          <w:sz w:val="22"/>
        </w:rPr>
        <w:t xml:space="preserve">, Princenton University Press.  </w:t>
      </w:r>
    </w:p>
    <w:p w14:paraId="3600587B" w14:textId="77777777" w:rsidR="00096C84" w:rsidRPr="005D1845" w:rsidRDefault="00096C84" w:rsidP="00096C84">
      <w:pPr>
        <w:spacing w:after="0" w:line="240" w:lineRule="auto"/>
        <w:ind w:left="0" w:right="530" w:firstLine="0"/>
        <w:rPr>
          <w:sz w:val="22"/>
        </w:rPr>
      </w:pPr>
    </w:p>
    <w:p w14:paraId="03E8E92B" w14:textId="247A6A63" w:rsidR="00FD585C" w:rsidRPr="005D1845" w:rsidRDefault="00FD585C" w:rsidP="00096C84">
      <w:pPr>
        <w:spacing w:after="0" w:line="240" w:lineRule="auto"/>
        <w:ind w:left="45" w:right="530"/>
        <w:rPr>
          <w:sz w:val="22"/>
        </w:rPr>
      </w:pPr>
      <w:r w:rsidRPr="005D1845">
        <w:rPr>
          <w:sz w:val="22"/>
        </w:rPr>
        <w:t xml:space="preserve">Hsieh, D. A. (1989): “Modeling Heterocedasticity in Daily Foreign-Exchange Rates: 1974-1983”. </w:t>
      </w:r>
      <w:r w:rsidRPr="005D1845">
        <w:rPr>
          <w:i/>
          <w:sz w:val="22"/>
        </w:rPr>
        <w:t xml:space="preserve">Journal of Business and Economic Statistics, </w:t>
      </w:r>
      <w:r w:rsidRPr="005D1845">
        <w:rPr>
          <w:sz w:val="22"/>
        </w:rPr>
        <w:t xml:space="preserve">vol. 7, pp. 307-17. </w:t>
      </w:r>
    </w:p>
    <w:p w14:paraId="40DE989D" w14:textId="77777777" w:rsidR="00F84EA8" w:rsidRPr="005D1845" w:rsidRDefault="00F84EA8" w:rsidP="00F84EA8">
      <w:pPr>
        <w:spacing w:after="0" w:line="240" w:lineRule="auto"/>
        <w:ind w:left="45" w:right="530"/>
        <w:rPr>
          <w:sz w:val="22"/>
        </w:rPr>
      </w:pPr>
    </w:p>
    <w:p w14:paraId="1FBA68D3" w14:textId="18E3E0B4" w:rsidR="00F84EA8" w:rsidRPr="005D1845" w:rsidRDefault="00AC02A6" w:rsidP="00F84EA8">
      <w:pPr>
        <w:spacing w:after="0" w:line="240" w:lineRule="auto"/>
        <w:ind w:left="45" w:right="530"/>
        <w:rPr>
          <w:sz w:val="22"/>
        </w:rPr>
      </w:pPr>
      <w:r w:rsidRPr="005D1845">
        <w:rPr>
          <w:sz w:val="22"/>
        </w:rPr>
        <w:t>Hufner F. (2004), “Foreign Exchange Intervention as a Monetary Policy Instrument: Evidence from Inflation Targeting C</w:t>
      </w:r>
      <w:r w:rsidR="00F84EA8" w:rsidRPr="005D1845">
        <w:rPr>
          <w:sz w:val="22"/>
        </w:rPr>
        <w:t xml:space="preserve">ountries”, Centre for European Economic Research, Zew Economic Studies 23, Physica-Verlag, Heidelberg. </w:t>
      </w:r>
    </w:p>
    <w:p w14:paraId="00A5468C" w14:textId="32DF3C61" w:rsidR="00096C84" w:rsidRPr="005D1845" w:rsidRDefault="00096C84" w:rsidP="00F84EA8">
      <w:pPr>
        <w:spacing w:after="0" w:line="240" w:lineRule="auto"/>
        <w:ind w:left="0" w:right="530" w:firstLine="0"/>
        <w:rPr>
          <w:sz w:val="22"/>
        </w:rPr>
      </w:pPr>
    </w:p>
    <w:p w14:paraId="51DC802C" w14:textId="2B0D3291" w:rsidR="00DD2B4E" w:rsidRPr="005D1845" w:rsidRDefault="00B87AEA" w:rsidP="00096C84">
      <w:pPr>
        <w:spacing w:after="0" w:line="240" w:lineRule="auto"/>
        <w:ind w:left="45" w:right="530"/>
        <w:rPr>
          <w:sz w:val="22"/>
        </w:rPr>
      </w:pPr>
      <w:r w:rsidRPr="005D1845">
        <w:rPr>
          <w:sz w:val="22"/>
          <w:lang w:val="es-BO"/>
        </w:rPr>
        <w:t xml:space="preserve">Ibarra, D. (2011). “Ensayos sobre economía mexicana”, Ed. Fondo de Cultura Económica, 2nd Ed. </w:t>
      </w:r>
      <w:r w:rsidRPr="005D1845">
        <w:rPr>
          <w:sz w:val="22"/>
        </w:rPr>
        <w:t>Ciudad de México.</w:t>
      </w:r>
    </w:p>
    <w:p w14:paraId="7C439F65" w14:textId="77777777" w:rsidR="00F84EA8" w:rsidRPr="005D1845" w:rsidRDefault="00F84EA8" w:rsidP="00F84EA8">
      <w:pPr>
        <w:spacing w:after="0" w:line="240" w:lineRule="auto"/>
        <w:ind w:right="530"/>
        <w:rPr>
          <w:sz w:val="22"/>
        </w:rPr>
      </w:pPr>
    </w:p>
    <w:p w14:paraId="0B18041B" w14:textId="0F7AFCDF" w:rsidR="00F84EA8" w:rsidRPr="005D1845" w:rsidRDefault="00F84EA8" w:rsidP="00F84EA8">
      <w:pPr>
        <w:spacing w:after="0" w:line="240" w:lineRule="auto"/>
        <w:ind w:right="530"/>
        <w:rPr>
          <w:sz w:val="22"/>
        </w:rPr>
      </w:pPr>
      <w:r w:rsidRPr="005D1845">
        <w:rPr>
          <w:sz w:val="22"/>
        </w:rPr>
        <w:t xml:space="preserve">Johansen, S. (1988), </w:t>
      </w:r>
      <w:r w:rsidRPr="005D1845">
        <w:rPr>
          <w:i/>
          <w:sz w:val="22"/>
        </w:rPr>
        <w:t>“</w:t>
      </w:r>
      <w:r w:rsidRPr="005D1845">
        <w:rPr>
          <w:sz w:val="22"/>
        </w:rPr>
        <w:t>Statistical Analysis of Cointegration Vectors</w:t>
      </w:r>
      <w:r w:rsidRPr="005D1845">
        <w:rPr>
          <w:i/>
          <w:sz w:val="22"/>
        </w:rPr>
        <w:t>”</w:t>
      </w:r>
      <w:r w:rsidRPr="005D1845">
        <w:rPr>
          <w:sz w:val="22"/>
        </w:rPr>
        <w:t xml:space="preserve">, </w:t>
      </w:r>
      <w:r w:rsidRPr="005D1845">
        <w:rPr>
          <w:i/>
          <w:sz w:val="22"/>
        </w:rPr>
        <w:t>Journal of Econometric Dynamic and Control</w:t>
      </w:r>
      <w:r w:rsidRPr="005D1845">
        <w:rPr>
          <w:sz w:val="22"/>
        </w:rPr>
        <w:t xml:space="preserve">, vol. 12, pp. 389-402. </w:t>
      </w:r>
    </w:p>
    <w:p w14:paraId="5DEA2CB4" w14:textId="0E10FF71" w:rsidR="00096C84" w:rsidRPr="005D1845" w:rsidRDefault="00096C84" w:rsidP="00F84EA8">
      <w:pPr>
        <w:spacing w:after="0" w:line="240" w:lineRule="auto"/>
        <w:ind w:left="0" w:right="530" w:firstLine="0"/>
        <w:rPr>
          <w:sz w:val="22"/>
        </w:rPr>
      </w:pPr>
    </w:p>
    <w:p w14:paraId="5127EA52" w14:textId="77777777" w:rsidR="00F84EA8" w:rsidRPr="005D1845" w:rsidRDefault="00F84EA8" w:rsidP="00F84EA8">
      <w:pPr>
        <w:spacing w:after="0" w:line="240" w:lineRule="auto"/>
        <w:ind w:left="45" w:right="530"/>
        <w:rPr>
          <w:sz w:val="22"/>
          <w:lang w:val="es-BO"/>
        </w:rPr>
      </w:pPr>
      <w:r w:rsidRPr="005D1845">
        <w:rPr>
          <w:sz w:val="22"/>
          <w:lang w:val="es-BO"/>
        </w:rPr>
        <w:t xml:space="preserve">Kalecky, M., (1954) “Theory of Economic Dynamics” (Fondo de Cultura Económica, México, 1985). </w:t>
      </w:r>
    </w:p>
    <w:p w14:paraId="64212FA1" w14:textId="77777777" w:rsidR="00F84EA8" w:rsidRPr="005D1845" w:rsidRDefault="00F84EA8" w:rsidP="00F84EA8">
      <w:pPr>
        <w:spacing w:after="0" w:line="240" w:lineRule="auto"/>
        <w:ind w:right="530"/>
        <w:rPr>
          <w:sz w:val="22"/>
          <w:lang w:val="es-BO"/>
        </w:rPr>
      </w:pPr>
    </w:p>
    <w:p w14:paraId="07F66F63" w14:textId="3304CD8B" w:rsidR="00F84EA8" w:rsidRPr="005D1845" w:rsidRDefault="00F84EA8" w:rsidP="00F84EA8">
      <w:pPr>
        <w:spacing w:after="0" w:line="240" w:lineRule="auto"/>
        <w:ind w:right="530"/>
        <w:rPr>
          <w:sz w:val="22"/>
          <w:lang w:val="es-BO"/>
        </w:rPr>
      </w:pPr>
      <w:r w:rsidRPr="005D1845">
        <w:rPr>
          <w:sz w:val="22"/>
          <w:lang w:val="es-BO"/>
        </w:rPr>
        <w:t>Kawa</w:t>
      </w:r>
      <w:r w:rsidR="00AC02A6" w:rsidRPr="005D1845">
        <w:rPr>
          <w:sz w:val="22"/>
          <w:lang w:val="es-BO"/>
        </w:rPr>
        <w:t>mura, E. (2010). “Valuación de A</w:t>
      </w:r>
      <w:r w:rsidRPr="005D1845">
        <w:rPr>
          <w:sz w:val="22"/>
          <w:lang w:val="es-BO"/>
        </w:rPr>
        <w:t>ctivos: ¿que nos enseñan 50 años de investigación? In: Progresos en Finanzas (Bebczuk, R., ed.), vol. 1, Temas Grupo Editorial, pp. 27-88.</w:t>
      </w:r>
    </w:p>
    <w:p w14:paraId="6F1396E0" w14:textId="77777777" w:rsidR="00F84EA8" w:rsidRPr="005D1845" w:rsidRDefault="00F84EA8" w:rsidP="00096C84">
      <w:pPr>
        <w:spacing w:after="0" w:line="240" w:lineRule="auto"/>
        <w:ind w:left="45" w:right="527" w:hanging="11"/>
        <w:rPr>
          <w:sz w:val="22"/>
          <w:lang w:val="es-BO"/>
        </w:rPr>
      </w:pPr>
    </w:p>
    <w:p w14:paraId="781C1C3F" w14:textId="5640A3CB" w:rsidR="00CC65FD" w:rsidRPr="005D1845" w:rsidRDefault="00DD2B4E" w:rsidP="00F84EA8">
      <w:pPr>
        <w:spacing w:after="0" w:line="240" w:lineRule="auto"/>
        <w:ind w:left="45" w:right="527" w:hanging="11"/>
        <w:rPr>
          <w:sz w:val="22"/>
        </w:rPr>
      </w:pPr>
      <w:r w:rsidRPr="005D1845">
        <w:rPr>
          <w:sz w:val="22"/>
        </w:rPr>
        <w:t>Kwiatkowski, Denis; Peter Phillips; Peter S</w:t>
      </w:r>
      <w:r w:rsidR="00AC02A6" w:rsidRPr="005D1845">
        <w:rPr>
          <w:sz w:val="22"/>
        </w:rPr>
        <w:t>chmidt, y Yongcheol Shin (1992).</w:t>
      </w:r>
      <w:r w:rsidRPr="005D1845">
        <w:rPr>
          <w:sz w:val="22"/>
        </w:rPr>
        <w:t xml:space="preserve"> </w:t>
      </w:r>
      <w:r w:rsidR="000F6399" w:rsidRPr="005D1845">
        <w:rPr>
          <w:sz w:val="22"/>
        </w:rPr>
        <w:t>“</w:t>
      </w:r>
      <w:r w:rsidRPr="005D1845">
        <w:rPr>
          <w:sz w:val="22"/>
        </w:rPr>
        <w:t xml:space="preserve">Testing the null hypothesis of stationary against the alternative of a unit root”, </w:t>
      </w:r>
      <w:r w:rsidRPr="005D1845">
        <w:rPr>
          <w:i/>
          <w:sz w:val="22"/>
        </w:rPr>
        <w:t>Journal of Econometrics</w:t>
      </w:r>
      <w:r w:rsidRPr="005D1845">
        <w:rPr>
          <w:sz w:val="22"/>
        </w:rPr>
        <w:t>, vol 54, North-Holland, Elsevier Science Publishers, pp. 1</w:t>
      </w:r>
      <w:r w:rsidR="00F84EA8" w:rsidRPr="005D1845">
        <w:rPr>
          <w:sz w:val="22"/>
        </w:rPr>
        <w:t>59-178.</w:t>
      </w:r>
    </w:p>
    <w:p w14:paraId="14B60AA6" w14:textId="77777777" w:rsidR="00CC65FD" w:rsidRPr="005D1845" w:rsidRDefault="00CC65FD" w:rsidP="00096C84">
      <w:pPr>
        <w:spacing w:after="0" w:line="240" w:lineRule="auto"/>
        <w:ind w:left="45" w:right="530"/>
        <w:rPr>
          <w:sz w:val="22"/>
        </w:rPr>
      </w:pPr>
    </w:p>
    <w:p w14:paraId="6DBFDEB0" w14:textId="6DD99BD8" w:rsidR="00376BC6" w:rsidRPr="005D1845" w:rsidRDefault="00591E0E" w:rsidP="00096C84">
      <w:pPr>
        <w:spacing w:after="0" w:line="240" w:lineRule="auto"/>
        <w:ind w:left="45" w:right="0"/>
        <w:rPr>
          <w:sz w:val="22"/>
        </w:rPr>
      </w:pPr>
      <w:r w:rsidRPr="005D1845">
        <w:rPr>
          <w:sz w:val="22"/>
        </w:rPr>
        <w:t>Lavoie, M</w:t>
      </w:r>
      <w:r w:rsidR="007C137F" w:rsidRPr="005D1845">
        <w:rPr>
          <w:sz w:val="22"/>
        </w:rPr>
        <w:t>. (2006) “A</w:t>
      </w:r>
      <w:r w:rsidR="006123C3" w:rsidRPr="005D1845">
        <w:rPr>
          <w:sz w:val="22"/>
        </w:rPr>
        <w:t xml:space="preserve"> Post-Keynesian Amendment to the New Consensus on Monetary P</w:t>
      </w:r>
      <w:r w:rsidR="006426FC" w:rsidRPr="005D1845">
        <w:rPr>
          <w:sz w:val="22"/>
        </w:rPr>
        <w:t xml:space="preserve">olicy” en </w:t>
      </w:r>
      <w:r w:rsidR="009D081A" w:rsidRPr="005D1845">
        <w:rPr>
          <w:i/>
          <w:sz w:val="22"/>
        </w:rPr>
        <w:t>M</w:t>
      </w:r>
      <w:r w:rsidR="006426FC" w:rsidRPr="005D1845">
        <w:rPr>
          <w:i/>
          <w:sz w:val="22"/>
        </w:rPr>
        <w:t>etroeconomica</w:t>
      </w:r>
      <w:r w:rsidR="00AC02A6" w:rsidRPr="005D1845">
        <w:rPr>
          <w:sz w:val="22"/>
        </w:rPr>
        <w:t>, vol. 57, nro.</w:t>
      </w:r>
      <w:r w:rsidR="006123C3" w:rsidRPr="005D1845">
        <w:rPr>
          <w:sz w:val="22"/>
        </w:rPr>
        <w:t xml:space="preserve"> 2, mayo, pp. 38-62. </w:t>
      </w:r>
    </w:p>
    <w:p w14:paraId="03B41FE9" w14:textId="77777777" w:rsidR="00CC65FD" w:rsidRPr="005D1845" w:rsidRDefault="00CC65FD" w:rsidP="00096C84">
      <w:pPr>
        <w:spacing w:after="0" w:line="240" w:lineRule="auto"/>
        <w:ind w:left="45" w:right="0"/>
        <w:rPr>
          <w:sz w:val="22"/>
        </w:rPr>
      </w:pPr>
    </w:p>
    <w:p w14:paraId="74CEE984" w14:textId="59DC23E9" w:rsidR="00376BC6" w:rsidRPr="005D1845" w:rsidRDefault="00591E0E" w:rsidP="00096C84">
      <w:pPr>
        <w:spacing w:after="0" w:line="240" w:lineRule="auto"/>
        <w:ind w:left="45" w:right="530"/>
        <w:rPr>
          <w:sz w:val="22"/>
        </w:rPr>
      </w:pPr>
      <w:r w:rsidRPr="005D1845">
        <w:rPr>
          <w:sz w:val="22"/>
        </w:rPr>
        <w:t>Lavoie, M</w:t>
      </w:r>
      <w:r w:rsidR="006426FC" w:rsidRPr="005D1845">
        <w:rPr>
          <w:sz w:val="22"/>
        </w:rPr>
        <w:t>. (1992) “</w:t>
      </w:r>
      <w:r w:rsidR="007C137F" w:rsidRPr="005D1845">
        <w:rPr>
          <w:i/>
          <w:sz w:val="22"/>
        </w:rPr>
        <w:t>F</w:t>
      </w:r>
      <w:r w:rsidR="007175D3" w:rsidRPr="005D1845">
        <w:rPr>
          <w:i/>
          <w:sz w:val="22"/>
        </w:rPr>
        <w:t>oundations of Post Keynesian A</w:t>
      </w:r>
      <w:r w:rsidR="006426FC" w:rsidRPr="005D1845">
        <w:rPr>
          <w:i/>
          <w:sz w:val="22"/>
        </w:rPr>
        <w:t xml:space="preserve">nalysis” </w:t>
      </w:r>
      <w:r w:rsidR="009D081A" w:rsidRPr="005D1845">
        <w:rPr>
          <w:sz w:val="22"/>
        </w:rPr>
        <w:t>(Aldershot: Edward E</w:t>
      </w:r>
      <w:r w:rsidR="006426FC" w:rsidRPr="005D1845">
        <w:rPr>
          <w:sz w:val="22"/>
        </w:rPr>
        <w:t xml:space="preserve">lgar). </w:t>
      </w:r>
    </w:p>
    <w:p w14:paraId="40E1563A" w14:textId="77777777" w:rsidR="00376BC6" w:rsidRPr="005D1845" w:rsidRDefault="006426FC" w:rsidP="00096C84">
      <w:pPr>
        <w:spacing w:after="0" w:line="240" w:lineRule="auto"/>
        <w:ind w:left="50" w:right="0" w:firstLine="0"/>
        <w:jc w:val="left"/>
        <w:rPr>
          <w:sz w:val="22"/>
        </w:rPr>
      </w:pPr>
      <w:r w:rsidRPr="005D1845">
        <w:rPr>
          <w:sz w:val="22"/>
        </w:rPr>
        <w:t xml:space="preserve"> </w:t>
      </w:r>
    </w:p>
    <w:p w14:paraId="1FB5D0DB" w14:textId="461EC3D9" w:rsidR="00376BC6" w:rsidRPr="005D1845" w:rsidRDefault="00B54BD6" w:rsidP="00096C84">
      <w:pPr>
        <w:spacing w:after="0" w:line="240" w:lineRule="auto"/>
        <w:ind w:left="45" w:right="530"/>
        <w:rPr>
          <w:sz w:val="22"/>
        </w:rPr>
      </w:pPr>
      <w:r w:rsidRPr="005D1845">
        <w:rPr>
          <w:sz w:val="22"/>
        </w:rPr>
        <w:t>Levy-Yeyati, E</w:t>
      </w:r>
      <w:r w:rsidR="00591E0E" w:rsidRPr="005D1845">
        <w:rPr>
          <w:sz w:val="22"/>
        </w:rPr>
        <w:t>., y F. S</w:t>
      </w:r>
      <w:r w:rsidR="004A723B" w:rsidRPr="005D1845">
        <w:rPr>
          <w:sz w:val="22"/>
        </w:rPr>
        <w:t>turzenegger (2009</w:t>
      </w:r>
      <w:r w:rsidR="00AC02A6" w:rsidRPr="005D1845">
        <w:rPr>
          <w:sz w:val="22"/>
        </w:rPr>
        <w:t>).</w:t>
      </w:r>
      <w:r w:rsidR="007C137F" w:rsidRPr="005D1845">
        <w:rPr>
          <w:sz w:val="22"/>
        </w:rPr>
        <w:t xml:space="preserve"> “F</w:t>
      </w:r>
      <w:r w:rsidR="006F2680" w:rsidRPr="005D1845">
        <w:rPr>
          <w:sz w:val="22"/>
        </w:rPr>
        <w:t>ear of A</w:t>
      </w:r>
      <w:r w:rsidR="006426FC" w:rsidRPr="005D1845">
        <w:rPr>
          <w:sz w:val="22"/>
        </w:rPr>
        <w:t>ppreciation”</w:t>
      </w:r>
      <w:r w:rsidR="006426FC" w:rsidRPr="005D1845">
        <w:rPr>
          <w:i/>
          <w:sz w:val="22"/>
        </w:rPr>
        <w:t xml:space="preserve">, </w:t>
      </w:r>
      <w:r w:rsidR="009D081A" w:rsidRPr="005D1845">
        <w:rPr>
          <w:sz w:val="22"/>
        </w:rPr>
        <w:t>KSG</w:t>
      </w:r>
      <w:r w:rsidR="00EC4353" w:rsidRPr="005D1845">
        <w:rPr>
          <w:sz w:val="22"/>
        </w:rPr>
        <w:t xml:space="preserve"> working paper nro.</w:t>
      </w:r>
      <w:r w:rsidR="006426FC" w:rsidRPr="005D1845">
        <w:rPr>
          <w:sz w:val="22"/>
        </w:rPr>
        <w:t xml:space="preserve"> 07-047, </w:t>
      </w:r>
      <w:r w:rsidR="007C137F" w:rsidRPr="005D1845">
        <w:rPr>
          <w:sz w:val="22"/>
        </w:rPr>
        <w:t>Harvard</w:t>
      </w:r>
      <w:r w:rsidR="007175D3" w:rsidRPr="005D1845">
        <w:rPr>
          <w:sz w:val="22"/>
        </w:rPr>
        <w:t xml:space="preserve"> U</w:t>
      </w:r>
      <w:r w:rsidR="006426FC" w:rsidRPr="005D1845">
        <w:rPr>
          <w:sz w:val="22"/>
        </w:rPr>
        <w:t xml:space="preserve">niversity. </w:t>
      </w:r>
    </w:p>
    <w:p w14:paraId="297F18B7" w14:textId="77777777" w:rsidR="00CC65FD" w:rsidRPr="005D1845" w:rsidRDefault="00CC65FD" w:rsidP="00096C84">
      <w:pPr>
        <w:spacing w:after="0" w:line="240" w:lineRule="auto"/>
        <w:ind w:left="45" w:right="530"/>
        <w:rPr>
          <w:sz w:val="22"/>
        </w:rPr>
      </w:pPr>
    </w:p>
    <w:p w14:paraId="1D1A169C" w14:textId="3EA41C43" w:rsidR="00376BC6" w:rsidRPr="005D1845" w:rsidRDefault="00591E0E" w:rsidP="00096C84">
      <w:pPr>
        <w:spacing w:after="0" w:line="240" w:lineRule="auto"/>
        <w:ind w:left="45" w:right="530"/>
        <w:rPr>
          <w:sz w:val="22"/>
        </w:rPr>
      </w:pPr>
      <w:r w:rsidRPr="005D1845">
        <w:rPr>
          <w:sz w:val="22"/>
        </w:rPr>
        <w:t>Levin, A.; F. N</w:t>
      </w:r>
      <w:r w:rsidR="006426FC" w:rsidRPr="005D1845">
        <w:rPr>
          <w:sz w:val="22"/>
        </w:rPr>
        <w:t>atal</w:t>
      </w:r>
      <w:r w:rsidRPr="005D1845">
        <w:rPr>
          <w:sz w:val="22"/>
        </w:rPr>
        <w:t>ucci y J. P</w:t>
      </w:r>
      <w:r w:rsidR="006C27A0" w:rsidRPr="005D1845">
        <w:rPr>
          <w:sz w:val="22"/>
        </w:rPr>
        <w:t>iger (2004),</w:t>
      </w:r>
      <w:r w:rsidR="00EC4353" w:rsidRPr="005D1845">
        <w:rPr>
          <w:sz w:val="22"/>
        </w:rPr>
        <w:t xml:space="preserve"> </w:t>
      </w:r>
      <w:r w:rsidR="006C27A0" w:rsidRPr="005D1845">
        <w:rPr>
          <w:sz w:val="22"/>
        </w:rPr>
        <w:t>“T</w:t>
      </w:r>
      <w:r w:rsidR="006123C3" w:rsidRPr="005D1845">
        <w:rPr>
          <w:sz w:val="22"/>
        </w:rPr>
        <w:t>he M</w:t>
      </w:r>
      <w:r w:rsidR="006426FC" w:rsidRPr="005D1845">
        <w:rPr>
          <w:sz w:val="22"/>
        </w:rPr>
        <w:t xml:space="preserve">acroeconomic </w:t>
      </w:r>
      <w:r w:rsidR="006123C3" w:rsidRPr="005D1845">
        <w:rPr>
          <w:sz w:val="22"/>
        </w:rPr>
        <w:t>Effects of Inflation T</w:t>
      </w:r>
      <w:r w:rsidR="006426FC" w:rsidRPr="005D1845">
        <w:rPr>
          <w:sz w:val="22"/>
        </w:rPr>
        <w:t xml:space="preserve">argeting”, </w:t>
      </w:r>
      <w:r w:rsidR="005815C1" w:rsidRPr="005D1845">
        <w:rPr>
          <w:i/>
          <w:sz w:val="22"/>
        </w:rPr>
        <w:t>Federal Reserve Bank of Saint Louis R</w:t>
      </w:r>
      <w:r w:rsidR="006426FC" w:rsidRPr="005D1845">
        <w:rPr>
          <w:i/>
          <w:sz w:val="22"/>
        </w:rPr>
        <w:t>eview</w:t>
      </w:r>
      <w:r w:rsidR="006426FC" w:rsidRPr="005D1845">
        <w:rPr>
          <w:sz w:val="22"/>
        </w:rPr>
        <w:t xml:space="preserve">, vol. 86(4), pp. 51-80. </w:t>
      </w:r>
    </w:p>
    <w:p w14:paraId="38DD11E7" w14:textId="77777777" w:rsidR="00CC65FD" w:rsidRPr="005D1845" w:rsidRDefault="00CC65FD" w:rsidP="00096C84">
      <w:pPr>
        <w:spacing w:after="0" w:line="240" w:lineRule="auto"/>
        <w:ind w:left="45" w:right="530"/>
        <w:rPr>
          <w:sz w:val="22"/>
        </w:rPr>
      </w:pPr>
    </w:p>
    <w:p w14:paraId="0CE2293B" w14:textId="505101D9" w:rsidR="00376BC6" w:rsidRPr="005D1845" w:rsidRDefault="00591E0E" w:rsidP="00096C84">
      <w:pPr>
        <w:spacing w:after="0" w:line="240" w:lineRule="auto"/>
        <w:ind w:left="45" w:right="530"/>
        <w:rPr>
          <w:sz w:val="22"/>
        </w:rPr>
      </w:pPr>
      <w:r w:rsidRPr="005D1845">
        <w:rPr>
          <w:sz w:val="22"/>
        </w:rPr>
        <w:t>Leiderman y S</w:t>
      </w:r>
      <w:r w:rsidR="00671986" w:rsidRPr="005D1845">
        <w:rPr>
          <w:sz w:val="22"/>
        </w:rPr>
        <w:t>vensson (1995), “I</w:t>
      </w:r>
      <w:r w:rsidR="006426FC" w:rsidRPr="005D1845">
        <w:rPr>
          <w:sz w:val="22"/>
        </w:rPr>
        <w:t>nfla</w:t>
      </w:r>
      <w:r w:rsidR="00B87AEA" w:rsidRPr="005D1845">
        <w:rPr>
          <w:sz w:val="22"/>
        </w:rPr>
        <w:t>tion T</w:t>
      </w:r>
      <w:r w:rsidR="006426FC" w:rsidRPr="005D1845">
        <w:rPr>
          <w:sz w:val="22"/>
        </w:rPr>
        <w:t xml:space="preserve">argets”, </w:t>
      </w:r>
      <w:r w:rsidR="005A13E0" w:rsidRPr="005D1845">
        <w:rPr>
          <w:i/>
          <w:sz w:val="22"/>
        </w:rPr>
        <w:t>Centre for Economic Policy R</w:t>
      </w:r>
      <w:r w:rsidR="006426FC" w:rsidRPr="005D1845">
        <w:rPr>
          <w:i/>
          <w:sz w:val="22"/>
        </w:rPr>
        <w:t>esearch</w:t>
      </w:r>
      <w:r w:rsidR="005A13E0" w:rsidRPr="005D1845">
        <w:rPr>
          <w:sz w:val="22"/>
        </w:rPr>
        <w:t>, L</w:t>
      </w:r>
      <w:r w:rsidR="006426FC" w:rsidRPr="005D1845">
        <w:rPr>
          <w:sz w:val="22"/>
        </w:rPr>
        <w:t xml:space="preserve">ondon. </w:t>
      </w:r>
    </w:p>
    <w:p w14:paraId="4EC0C590" w14:textId="77777777" w:rsidR="00CC65FD" w:rsidRPr="005D1845" w:rsidRDefault="00CC65FD" w:rsidP="00096C84">
      <w:pPr>
        <w:spacing w:after="0" w:line="240" w:lineRule="auto"/>
        <w:ind w:left="45" w:right="530"/>
        <w:rPr>
          <w:sz w:val="22"/>
        </w:rPr>
      </w:pPr>
    </w:p>
    <w:p w14:paraId="5B5465A5" w14:textId="51933EA2" w:rsidR="00376BC6" w:rsidRPr="005D1845" w:rsidRDefault="00183F63" w:rsidP="00096C84">
      <w:pPr>
        <w:spacing w:after="0" w:line="240" w:lineRule="auto"/>
        <w:ind w:left="45" w:right="530"/>
        <w:rPr>
          <w:sz w:val="22"/>
        </w:rPr>
      </w:pPr>
      <w:r w:rsidRPr="005D1845">
        <w:rPr>
          <w:sz w:val="22"/>
          <w:lang w:val="es-BO"/>
        </w:rPr>
        <w:t>Li, J. y R</w:t>
      </w:r>
      <w:r w:rsidR="00591E0E" w:rsidRPr="005D1845">
        <w:rPr>
          <w:sz w:val="22"/>
          <w:lang w:val="es-BO"/>
        </w:rPr>
        <w:t>. R</w:t>
      </w:r>
      <w:r w:rsidRPr="005D1845">
        <w:rPr>
          <w:sz w:val="22"/>
          <w:lang w:val="es-BO"/>
        </w:rPr>
        <w:t>ajan (2005).</w:t>
      </w:r>
      <w:r w:rsidR="000317B5" w:rsidRPr="005D1845">
        <w:rPr>
          <w:sz w:val="22"/>
          <w:lang w:val="es-BO"/>
        </w:rPr>
        <w:t xml:space="preserve"> </w:t>
      </w:r>
      <w:r w:rsidR="000317B5" w:rsidRPr="005D1845">
        <w:rPr>
          <w:sz w:val="22"/>
        </w:rPr>
        <w:t>“C</w:t>
      </w:r>
      <w:r w:rsidR="006426FC" w:rsidRPr="005D1845">
        <w:rPr>
          <w:sz w:val="22"/>
        </w:rPr>
        <w:t xml:space="preserve">an high reserves offset weak fundamentals? a simple model of precautionary </w:t>
      </w:r>
      <w:r w:rsidR="00906D38" w:rsidRPr="005D1845">
        <w:rPr>
          <w:sz w:val="22"/>
        </w:rPr>
        <w:t>demand for reserves”, lee Ku</w:t>
      </w:r>
      <w:r w:rsidR="007175D3" w:rsidRPr="005D1845">
        <w:rPr>
          <w:sz w:val="22"/>
        </w:rPr>
        <w:t>an Yew school of Public P</w:t>
      </w:r>
      <w:r w:rsidR="006426FC" w:rsidRPr="005D1845">
        <w:rPr>
          <w:sz w:val="22"/>
        </w:rPr>
        <w:t xml:space="preserve">olicy </w:t>
      </w:r>
      <w:r w:rsidR="000D24C8" w:rsidRPr="005D1845">
        <w:rPr>
          <w:i/>
          <w:sz w:val="22"/>
        </w:rPr>
        <w:t>Working P</w:t>
      </w:r>
      <w:r w:rsidR="00B87AEA" w:rsidRPr="005D1845">
        <w:rPr>
          <w:i/>
          <w:sz w:val="22"/>
        </w:rPr>
        <w:t>aper</w:t>
      </w:r>
      <w:r w:rsidR="006426FC" w:rsidRPr="005D1845">
        <w:rPr>
          <w:sz w:val="22"/>
        </w:rPr>
        <w:t xml:space="preserve">. </w:t>
      </w:r>
    </w:p>
    <w:p w14:paraId="4FCC4109" w14:textId="77777777" w:rsidR="00376BC6" w:rsidRPr="005D1845" w:rsidRDefault="006426FC" w:rsidP="00096C84">
      <w:pPr>
        <w:spacing w:after="0" w:line="240" w:lineRule="auto"/>
        <w:ind w:left="50" w:right="0" w:firstLine="0"/>
        <w:jc w:val="left"/>
        <w:rPr>
          <w:sz w:val="22"/>
        </w:rPr>
      </w:pPr>
      <w:r w:rsidRPr="005D1845">
        <w:rPr>
          <w:sz w:val="22"/>
        </w:rPr>
        <w:t xml:space="preserve"> </w:t>
      </w:r>
    </w:p>
    <w:p w14:paraId="69E7C4CB" w14:textId="3D01EAE5" w:rsidR="00376BC6" w:rsidRPr="005D1845" w:rsidRDefault="00671986" w:rsidP="00096C84">
      <w:pPr>
        <w:spacing w:after="0" w:line="240" w:lineRule="auto"/>
        <w:ind w:left="45" w:right="530"/>
        <w:rPr>
          <w:sz w:val="22"/>
          <w:lang w:val="es-BO"/>
        </w:rPr>
      </w:pPr>
      <w:r w:rsidRPr="005D1845">
        <w:rPr>
          <w:sz w:val="22"/>
          <w:lang w:val="es-BO"/>
        </w:rPr>
        <w:t>López</w:t>
      </w:r>
      <w:r w:rsidR="00591E0E" w:rsidRPr="005D1845">
        <w:rPr>
          <w:sz w:val="22"/>
          <w:lang w:val="es-BO"/>
        </w:rPr>
        <w:t>, g. J</w:t>
      </w:r>
      <w:r w:rsidRPr="005D1845">
        <w:rPr>
          <w:sz w:val="22"/>
          <w:lang w:val="es-BO"/>
        </w:rPr>
        <w:t>ulio (1998), “L</w:t>
      </w:r>
      <w:r w:rsidR="006426FC" w:rsidRPr="005D1845">
        <w:rPr>
          <w:sz w:val="22"/>
          <w:lang w:val="es-BO"/>
        </w:rPr>
        <w:t xml:space="preserve">a macroeconomía reciente de </w:t>
      </w:r>
      <w:r w:rsidRPr="005D1845">
        <w:rPr>
          <w:sz w:val="22"/>
          <w:lang w:val="es-BO"/>
        </w:rPr>
        <w:t>México</w:t>
      </w:r>
      <w:r w:rsidR="006426FC" w:rsidRPr="005D1845">
        <w:rPr>
          <w:sz w:val="22"/>
          <w:lang w:val="es-BO"/>
        </w:rPr>
        <w:t>: el pasado</w:t>
      </w:r>
      <w:r w:rsidR="00E71A87" w:rsidRPr="005D1845">
        <w:rPr>
          <w:sz w:val="22"/>
          <w:lang w:val="es-BO"/>
        </w:rPr>
        <w:t xml:space="preserve"> y el futuro posible”, Porrua, </w:t>
      </w:r>
      <w:r w:rsidR="00B87AEA" w:rsidRPr="005D1845">
        <w:rPr>
          <w:sz w:val="22"/>
          <w:lang w:val="es-BO"/>
        </w:rPr>
        <w:t>Ciudad de México.</w:t>
      </w:r>
      <w:r w:rsidR="006426FC" w:rsidRPr="005D1845">
        <w:rPr>
          <w:sz w:val="22"/>
          <w:lang w:val="es-BO"/>
        </w:rPr>
        <w:t xml:space="preserve"> </w:t>
      </w:r>
    </w:p>
    <w:p w14:paraId="0D9D240B" w14:textId="77777777" w:rsidR="00CC65FD" w:rsidRPr="005D1845" w:rsidRDefault="00CC65FD" w:rsidP="00096C84">
      <w:pPr>
        <w:spacing w:after="0" w:line="240" w:lineRule="auto"/>
        <w:ind w:left="45" w:right="530"/>
        <w:rPr>
          <w:sz w:val="22"/>
          <w:lang w:val="es-BO"/>
        </w:rPr>
      </w:pPr>
    </w:p>
    <w:p w14:paraId="2CF3FA4A" w14:textId="16A81DCF" w:rsidR="005A13E0" w:rsidRPr="005D1845" w:rsidRDefault="005A13E0" w:rsidP="00096C84">
      <w:pPr>
        <w:spacing w:after="0" w:line="240" w:lineRule="auto"/>
        <w:ind w:left="45" w:right="530"/>
        <w:rPr>
          <w:sz w:val="22"/>
          <w:lang w:val="es-BO"/>
        </w:rPr>
      </w:pPr>
      <w:r w:rsidRPr="005D1845">
        <w:rPr>
          <w:sz w:val="22"/>
          <w:lang w:val="es-BO"/>
        </w:rPr>
        <w:t>López Teresa S. y E. Basilio M. (</w:t>
      </w:r>
      <w:r w:rsidR="00A91292" w:rsidRPr="005D1845">
        <w:rPr>
          <w:sz w:val="22"/>
          <w:lang w:val="es-BO"/>
        </w:rPr>
        <w:t>2014</w:t>
      </w:r>
      <w:r w:rsidRPr="005D1845">
        <w:rPr>
          <w:sz w:val="22"/>
          <w:lang w:val="es-BO"/>
        </w:rPr>
        <w:t>), “Paradoja de la deuda pública interna en México: estabilidad monetaria versus inestabilidad financiera endógena</w:t>
      </w:r>
      <w:r w:rsidR="00B87AEA" w:rsidRPr="005D1845">
        <w:rPr>
          <w:sz w:val="22"/>
          <w:lang w:val="es-BO"/>
        </w:rPr>
        <w:t>. En</w:t>
      </w:r>
      <w:r w:rsidRPr="005D1845">
        <w:rPr>
          <w:sz w:val="22"/>
          <w:lang w:val="es-BO"/>
        </w:rPr>
        <w:t>: G. Mantey y T.  López, ed.  FES Acatlán UNAM, La integración Monetaria de América Latina. Una respuesta regional a la integración global, 1ra edición. México</w:t>
      </w:r>
      <w:r w:rsidR="00B87AEA" w:rsidRPr="005D1845">
        <w:rPr>
          <w:sz w:val="22"/>
          <w:lang w:val="es-BO"/>
        </w:rPr>
        <w:t>.</w:t>
      </w:r>
    </w:p>
    <w:p w14:paraId="4A8C5947" w14:textId="77777777" w:rsidR="00CC65FD" w:rsidRPr="005D1845" w:rsidRDefault="00CC65FD" w:rsidP="00096C84">
      <w:pPr>
        <w:spacing w:after="0" w:line="240" w:lineRule="auto"/>
        <w:ind w:left="45" w:right="530"/>
        <w:rPr>
          <w:sz w:val="22"/>
          <w:lang w:val="es-BO"/>
        </w:rPr>
      </w:pPr>
    </w:p>
    <w:p w14:paraId="5467F558" w14:textId="7943F9B2" w:rsidR="00181F00" w:rsidRPr="005D1845" w:rsidRDefault="00181F00" w:rsidP="00096C84">
      <w:pPr>
        <w:spacing w:after="0" w:line="240" w:lineRule="auto"/>
        <w:ind w:left="45" w:right="530"/>
        <w:rPr>
          <w:sz w:val="22"/>
        </w:rPr>
      </w:pPr>
      <w:r w:rsidRPr="005D1845">
        <w:rPr>
          <w:sz w:val="22"/>
          <w:lang w:val="es-BO"/>
        </w:rPr>
        <w:t>López Teresa S., Guadalupe Má</w:t>
      </w:r>
      <w:r w:rsidR="00AC02A6" w:rsidRPr="005D1845">
        <w:rPr>
          <w:sz w:val="22"/>
          <w:lang w:val="es-BO"/>
        </w:rPr>
        <w:t>ntey, B., y Carlo Panico (2015).</w:t>
      </w:r>
      <w:r w:rsidRPr="005D1845">
        <w:rPr>
          <w:sz w:val="22"/>
          <w:lang w:val="es-BO"/>
        </w:rPr>
        <w:t xml:space="preserve"> “Repensando las </w:t>
      </w:r>
      <w:r w:rsidR="0055644E" w:rsidRPr="005D1845">
        <w:rPr>
          <w:sz w:val="22"/>
          <w:lang w:val="es-BO"/>
        </w:rPr>
        <w:t xml:space="preserve">finanzas </w:t>
      </w:r>
      <w:r w:rsidRPr="005D1845">
        <w:rPr>
          <w:sz w:val="22"/>
          <w:lang w:val="es-BO"/>
        </w:rPr>
        <w:t xml:space="preserve">para el crecimiento estable de los países en desarrollo”. </w:t>
      </w:r>
      <w:r w:rsidRPr="005D1845">
        <w:rPr>
          <w:sz w:val="22"/>
        </w:rPr>
        <w:t>México: FES Acatlán, DGAPA, UNAM, pp. 107-147.</w:t>
      </w:r>
    </w:p>
    <w:p w14:paraId="1D01F4B2" w14:textId="77777777" w:rsidR="00CC65FD" w:rsidRPr="005D1845" w:rsidRDefault="00CC65FD" w:rsidP="00096C84">
      <w:pPr>
        <w:spacing w:after="0" w:line="240" w:lineRule="auto"/>
        <w:ind w:left="45" w:right="530"/>
        <w:rPr>
          <w:sz w:val="22"/>
        </w:rPr>
      </w:pPr>
    </w:p>
    <w:p w14:paraId="22B53CCC" w14:textId="77777777" w:rsidR="00CC65FD" w:rsidRPr="005D1845" w:rsidRDefault="00591E0E" w:rsidP="00096C84">
      <w:pPr>
        <w:spacing w:after="0" w:line="240" w:lineRule="auto"/>
        <w:ind w:left="45" w:right="530"/>
        <w:rPr>
          <w:sz w:val="22"/>
        </w:rPr>
      </w:pPr>
      <w:r w:rsidRPr="005D1845">
        <w:rPr>
          <w:sz w:val="22"/>
        </w:rPr>
        <w:t>Mántey, G</w:t>
      </w:r>
      <w:r w:rsidR="006C27A0" w:rsidRPr="005D1845">
        <w:rPr>
          <w:sz w:val="22"/>
        </w:rPr>
        <w:t>uadalupe, (2006) “I</w:t>
      </w:r>
      <w:r w:rsidR="006426FC" w:rsidRPr="005D1845">
        <w:rPr>
          <w:sz w:val="22"/>
        </w:rPr>
        <w:t>nflation targeting and exchange rate risk in emerging economies subject t</w:t>
      </w:r>
      <w:r w:rsidR="0055644E" w:rsidRPr="005D1845">
        <w:rPr>
          <w:sz w:val="22"/>
        </w:rPr>
        <w:t>o structural inflation”, en Motames-Samadian (ed.), Economic and Financial Developments in Latin A</w:t>
      </w:r>
      <w:r w:rsidR="006426FC" w:rsidRPr="005D1845">
        <w:rPr>
          <w:sz w:val="22"/>
        </w:rPr>
        <w:t>merica</w:t>
      </w:r>
      <w:r w:rsidR="00927148" w:rsidRPr="005D1845">
        <w:rPr>
          <w:sz w:val="22"/>
        </w:rPr>
        <w:t>n, Londres, Palgrave M</w:t>
      </w:r>
      <w:r w:rsidR="006426FC" w:rsidRPr="005D1845">
        <w:rPr>
          <w:sz w:val="22"/>
        </w:rPr>
        <w:t>acmillan.</w:t>
      </w:r>
    </w:p>
    <w:p w14:paraId="7B75875E" w14:textId="3A45CC23" w:rsidR="00376BC6" w:rsidRPr="005D1845" w:rsidRDefault="006426FC" w:rsidP="00096C84">
      <w:pPr>
        <w:spacing w:after="0" w:line="240" w:lineRule="auto"/>
        <w:ind w:left="45" w:right="530"/>
        <w:rPr>
          <w:sz w:val="22"/>
        </w:rPr>
      </w:pPr>
      <w:r w:rsidRPr="005D1845">
        <w:rPr>
          <w:sz w:val="22"/>
        </w:rPr>
        <w:t xml:space="preserve"> </w:t>
      </w:r>
    </w:p>
    <w:p w14:paraId="66D7295E" w14:textId="0BD7A738" w:rsidR="00376BC6" w:rsidRPr="005D1845" w:rsidRDefault="00591E0E" w:rsidP="00096C84">
      <w:pPr>
        <w:spacing w:after="0" w:line="240" w:lineRule="auto"/>
        <w:ind w:left="45" w:right="530"/>
        <w:rPr>
          <w:sz w:val="22"/>
          <w:lang w:val="es-BO"/>
        </w:rPr>
      </w:pPr>
      <w:r w:rsidRPr="005D1845">
        <w:rPr>
          <w:sz w:val="22"/>
          <w:lang w:val="es-BO"/>
        </w:rPr>
        <w:t>Mántey, G</w:t>
      </w:r>
      <w:r w:rsidR="006C27A0" w:rsidRPr="005D1845">
        <w:rPr>
          <w:sz w:val="22"/>
          <w:lang w:val="es-BO"/>
        </w:rPr>
        <w:t>uadalupe, (2009) “I</w:t>
      </w:r>
      <w:r w:rsidR="006426FC" w:rsidRPr="005D1845">
        <w:rPr>
          <w:sz w:val="22"/>
          <w:lang w:val="es-BO"/>
        </w:rPr>
        <w:t>ntervención esterilizada en el mercado de cambios en un régimen de metas d</w:t>
      </w:r>
      <w:r w:rsidR="00927148" w:rsidRPr="005D1845">
        <w:rPr>
          <w:sz w:val="22"/>
          <w:lang w:val="es-BO"/>
        </w:rPr>
        <w:t>e inflación: la experiencia de México”, Investigación E</w:t>
      </w:r>
      <w:r w:rsidR="006426FC" w:rsidRPr="005D1845">
        <w:rPr>
          <w:sz w:val="22"/>
          <w:lang w:val="es-BO"/>
        </w:rPr>
        <w:t xml:space="preserve">conómica vol. </w:t>
      </w:r>
      <w:r w:rsidR="00AC02A6" w:rsidRPr="005D1845">
        <w:rPr>
          <w:sz w:val="22"/>
          <w:lang w:val="es-BO"/>
        </w:rPr>
        <w:t>LXVIII</w:t>
      </w:r>
      <w:r w:rsidR="006426FC" w:rsidRPr="005D1845">
        <w:rPr>
          <w:sz w:val="22"/>
          <w:lang w:val="es-BO"/>
        </w:rPr>
        <w:t xml:space="preserve">, número especial 2009, pp. 47-78. </w:t>
      </w:r>
    </w:p>
    <w:p w14:paraId="6CEC14EA" w14:textId="0ED0C247" w:rsidR="00E046A0" w:rsidRPr="005D1845" w:rsidRDefault="00E046A0" w:rsidP="00096C84">
      <w:pPr>
        <w:spacing w:after="0" w:line="240" w:lineRule="auto"/>
        <w:ind w:left="45" w:right="530"/>
        <w:rPr>
          <w:sz w:val="22"/>
          <w:lang w:val="es-BO"/>
        </w:rPr>
      </w:pPr>
    </w:p>
    <w:p w14:paraId="63EE1264" w14:textId="11A31E65" w:rsidR="00E046A0" w:rsidRPr="005D1845" w:rsidRDefault="00E046A0" w:rsidP="00E046A0">
      <w:pPr>
        <w:spacing w:after="0" w:line="240" w:lineRule="auto"/>
        <w:ind w:left="45" w:right="530"/>
        <w:rPr>
          <w:sz w:val="22"/>
          <w:lang w:val="es-BO"/>
        </w:rPr>
      </w:pPr>
      <w:r w:rsidRPr="005D1845">
        <w:rPr>
          <w:sz w:val="22"/>
          <w:lang w:val="es-BO"/>
        </w:rPr>
        <w:t>Mántey, Guadalupe (2010). “El Miedo a Flotar y la Intervención Esterilizada en el Mercado de Cambios como Instrumento de Política Monetaria en México”, en G. Mántey y Teresa López [coords.]. Política monetaria con elevado traspaso del tipo de cambio. La experiencia mexicana con metas de inflación, México, Plaza y Valdés-UNAM, pp. 165-196.</w:t>
      </w:r>
    </w:p>
    <w:p w14:paraId="39D1BC05" w14:textId="7EB27169" w:rsidR="00E046A0" w:rsidRPr="005D1845" w:rsidRDefault="00E046A0" w:rsidP="00E046A0">
      <w:pPr>
        <w:spacing w:after="0" w:line="240" w:lineRule="auto"/>
        <w:ind w:left="45" w:right="530"/>
        <w:rPr>
          <w:sz w:val="22"/>
          <w:lang w:val="es-BO"/>
        </w:rPr>
      </w:pPr>
    </w:p>
    <w:p w14:paraId="1465F755" w14:textId="2B0F5047" w:rsidR="00E046A0" w:rsidRPr="005D1845" w:rsidRDefault="00E046A0" w:rsidP="00E046A0">
      <w:pPr>
        <w:spacing w:after="0" w:line="240" w:lineRule="auto"/>
        <w:ind w:left="45" w:right="530"/>
        <w:rPr>
          <w:sz w:val="22"/>
          <w:lang w:val="es-BO"/>
        </w:rPr>
      </w:pPr>
      <w:r w:rsidRPr="005D1845">
        <w:rPr>
          <w:sz w:val="22"/>
          <w:lang w:val="es-BO"/>
        </w:rPr>
        <w:t>Martínez, L., Sánchez, O. y A. Werner (2001). “Consideraciones sobre la Conducción de la Política Monetaria y el Mecanismo de Transmisión en México”, Banco de México, Documento de trabajo, No. 2001-2, marzo.</w:t>
      </w:r>
    </w:p>
    <w:p w14:paraId="07149BC2" w14:textId="77777777" w:rsidR="00CC65FD" w:rsidRPr="005D1845" w:rsidRDefault="00CC65FD" w:rsidP="00096C84">
      <w:pPr>
        <w:spacing w:after="0" w:line="240" w:lineRule="auto"/>
        <w:ind w:left="45" w:right="530"/>
        <w:rPr>
          <w:sz w:val="22"/>
          <w:lang w:val="es-BO"/>
        </w:rPr>
      </w:pPr>
    </w:p>
    <w:p w14:paraId="675ADDAD" w14:textId="55D2F725" w:rsidR="00376BC6" w:rsidRPr="005D1845" w:rsidRDefault="00591E0E" w:rsidP="00096C84">
      <w:pPr>
        <w:spacing w:after="0" w:line="240" w:lineRule="auto"/>
        <w:ind w:left="45" w:right="530"/>
        <w:rPr>
          <w:sz w:val="22"/>
        </w:rPr>
      </w:pPr>
      <w:r w:rsidRPr="005D1845">
        <w:rPr>
          <w:sz w:val="22"/>
        </w:rPr>
        <w:t>Malliaropulos, D</w:t>
      </w:r>
      <w:r w:rsidR="006C27A0" w:rsidRPr="005D1845">
        <w:rPr>
          <w:sz w:val="22"/>
        </w:rPr>
        <w:t>. (1995): “C</w:t>
      </w:r>
      <w:r w:rsidR="006426FC" w:rsidRPr="005D1845">
        <w:rPr>
          <w:sz w:val="22"/>
        </w:rPr>
        <w:t>on</w:t>
      </w:r>
      <w:r w:rsidR="00AC02A6" w:rsidRPr="005D1845">
        <w:rPr>
          <w:sz w:val="22"/>
        </w:rPr>
        <w:t>ditional Volatility of E</w:t>
      </w:r>
      <w:r w:rsidR="006426FC" w:rsidRPr="005D1845">
        <w:rPr>
          <w:sz w:val="22"/>
        </w:rPr>
        <w:t>xcha</w:t>
      </w:r>
      <w:r w:rsidR="00AC02A6" w:rsidRPr="005D1845">
        <w:rPr>
          <w:sz w:val="22"/>
        </w:rPr>
        <w:t>nge Rates and Risk Premia in the E</w:t>
      </w:r>
      <w:r w:rsidR="006426FC" w:rsidRPr="005D1845">
        <w:rPr>
          <w:sz w:val="22"/>
        </w:rPr>
        <w:t xml:space="preserve">ms”. </w:t>
      </w:r>
      <w:r w:rsidR="00927148" w:rsidRPr="005D1845">
        <w:rPr>
          <w:i/>
          <w:sz w:val="22"/>
        </w:rPr>
        <w:t>Applied E</w:t>
      </w:r>
      <w:r w:rsidR="006426FC" w:rsidRPr="005D1845">
        <w:rPr>
          <w:i/>
          <w:sz w:val="22"/>
        </w:rPr>
        <w:t xml:space="preserve">conomics, </w:t>
      </w:r>
      <w:r w:rsidR="00AC02A6" w:rsidRPr="005D1845">
        <w:rPr>
          <w:sz w:val="22"/>
        </w:rPr>
        <w:t>vol. 27, pp</w:t>
      </w:r>
      <w:r w:rsidR="006426FC" w:rsidRPr="005D1845">
        <w:rPr>
          <w:sz w:val="22"/>
        </w:rPr>
        <w:t xml:space="preserve">. 117-123. </w:t>
      </w:r>
    </w:p>
    <w:p w14:paraId="31159EC7" w14:textId="2E975C43" w:rsidR="00CC65FD" w:rsidRPr="005D1845" w:rsidRDefault="00CC65FD" w:rsidP="00E046A0">
      <w:pPr>
        <w:spacing w:after="0" w:line="240" w:lineRule="auto"/>
        <w:ind w:left="0" w:right="530" w:firstLine="0"/>
        <w:rPr>
          <w:sz w:val="22"/>
        </w:rPr>
      </w:pPr>
    </w:p>
    <w:p w14:paraId="5D0F8BD5" w14:textId="08B18509" w:rsidR="00376BC6" w:rsidRPr="005D1845" w:rsidRDefault="00591E0E" w:rsidP="00096C84">
      <w:pPr>
        <w:spacing w:after="0" w:line="240" w:lineRule="auto"/>
        <w:ind w:left="45" w:right="530"/>
        <w:rPr>
          <w:sz w:val="22"/>
        </w:rPr>
      </w:pPr>
      <w:r w:rsidRPr="005D1845">
        <w:rPr>
          <w:sz w:val="22"/>
        </w:rPr>
        <w:t>Machlup, F</w:t>
      </w:r>
      <w:r w:rsidR="006C27A0" w:rsidRPr="005D1845">
        <w:rPr>
          <w:sz w:val="22"/>
        </w:rPr>
        <w:t>. (1960) “A</w:t>
      </w:r>
      <w:r w:rsidR="00AC02A6" w:rsidRPr="005D1845">
        <w:rPr>
          <w:sz w:val="22"/>
        </w:rPr>
        <w:t>nother View of C</w:t>
      </w:r>
      <w:r w:rsidR="006426FC" w:rsidRPr="005D1845">
        <w:rPr>
          <w:sz w:val="22"/>
        </w:rPr>
        <w:t>ost-</w:t>
      </w:r>
      <w:r w:rsidR="00AC02A6" w:rsidRPr="005D1845">
        <w:rPr>
          <w:sz w:val="22"/>
        </w:rPr>
        <w:t>Push and Demand-Pull I</w:t>
      </w:r>
      <w:r w:rsidR="006426FC" w:rsidRPr="005D1845">
        <w:rPr>
          <w:sz w:val="22"/>
        </w:rPr>
        <w:t xml:space="preserve">nflation” en </w:t>
      </w:r>
      <w:r w:rsidR="00AC02A6" w:rsidRPr="005D1845">
        <w:rPr>
          <w:i/>
          <w:sz w:val="22"/>
        </w:rPr>
        <w:t>Review of Economics and S</w:t>
      </w:r>
      <w:r w:rsidR="006426FC" w:rsidRPr="005D1845">
        <w:rPr>
          <w:i/>
          <w:sz w:val="22"/>
        </w:rPr>
        <w:t>tatistics</w:t>
      </w:r>
      <w:r w:rsidR="00AC02A6" w:rsidRPr="005D1845">
        <w:rPr>
          <w:sz w:val="22"/>
        </w:rPr>
        <w:t>, nro.</w:t>
      </w:r>
      <w:r w:rsidR="006426FC" w:rsidRPr="005D1845">
        <w:rPr>
          <w:sz w:val="22"/>
        </w:rPr>
        <w:t xml:space="preserve"> 42. </w:t>
      </w:r>
    </w:p>
    <w:p w14:paraId="38746410" w14:textId="77777777" w:rsidR="00376BC6" w:rsidRPr="005D1845" w:rsidRDefault="006426FC" w:rsidP="00096C84">
      <w:pPr>
        <w:spacing w:after="0" w:line="240" w:lineRule="auto"/>
        <w:ind w:left="50" w:right="0" w:firstLine="0"/>
        <w:jc w:val="left"/>
        <w:rPr>
          <w:sz w:val="22"/>
        </w:rPr>
      </w:pPr>
      <w:r w:rsidRPr="005D1845">
        <w:rPr>
          <w:sz w:val="22"/>
        </w:rPr>
        <w:t xml:space="preserve"> </w:t>
      </w:r>
    </w:p>
    <w:p w14:paraId="642F930D" w14:textId="56DFFFB5" w:rsidR="00376BC6" w:rsidRPr="005D1845" w:rsidRDefault="00591E0E" w:rsidP="00096C84">
      <w:pPr>
        <w:spacing w:after="0" w:line="240" w:lineRule="auto"/>
        <w:ind w:left="45" w:right="530"/>
        <w:rPr>
          <w:sz w:val="22"/>
          <w:lang w:val="es-BO"/>
        </w:rPr>
      </w:pPr>
      <w:r w:rsidRPr="005D1845">
        <w:rPr>
          <w:sz w:val="22"/>
          <w:lang w:val="es-BO"/>
        </w:rPr>
        <w:t>Mendoza, M y Q</w:t>
      </w:r>
      <w:r w:rsidR="006426FC" w:rsidRPr="005D1845">
        <w:rPr>
          <w:sz w:val="22"/>
          <w:lang w:val="es-BO"/>
        </w:rPr>
        <w:t>uintana, l. (2011), “</w:t>
      </w:r>
      <w:r w:rsidR="00DA0862" w:rsidRPr="005D1845">
        <w:rPr>
          <w:sz w:val="22"/>
          <w:lang w:val="es-BO"/>
        </w:rPr>
        <w:t>E</w:t>
      </w:r>
      <w:r w:rsidR="006426FC" w:rsidRPr="005D1845">
        <w:rPr>
          <w:sz w:val="22"/>
          <w:lang w:val="es-BO"/>
        </w:rPr>
        <w:t>conometría básica. modelos y aplicac</w:t>
      </w:r>
      <w:r w:rsidR="00C07FFE" w:rsidRPr="005D1845">
        <w:rPr>
          <w:sz w:val="22"/>
          <w:lang w:val="es-BO"/>
        </w:rPr>
        <w:t>iones a la economía mexicana”, México D.F</w:t>
      </w:r>
      <w:r w:rsidR="006426FC" w:rsidRPr="005D1845">
        <w:rPr>
          <w:sz w:val="22"/>
          <w:lang w:val="es-BO"/>
        </w:rPr>
        <w:t xml:space="preserve">. </w:t>
      </w:r>
    </w:p>
    <w:p w14:paraId="10294061" w14:textId="77777777" w:rsidR="00376BC6" w:rsidRPr="005D1845" w:rsidRDefault="006426FC" w:rsidP="00096C84">
      <w:pPr>
        <w:spacing w:after="0" w:line="240" w:lineRule="auto"/>
        <w:ind w:left="50" w:right="0" w:firstLine="0"/>
        <w:jc w:val="left"/>
        <w:rPr>
          <w:sz w:val="22"/>
          <w:lang w:val="es-BO"/>
        </w:rPr>
      </w:pPr>
      <w:r w:rsidRPr="005D1845">
        <w:rPr>
          <w:sz w:val="22"/>
          <w:lang w:val="es-BO"/>
        </w:rPr>
        <w:t xml:space="preserve"> </w:t>
      </w:r>
    </w:p>
    <w:p w14:paraId="199776DF" w14:textId="260EA0E3" w:rsidR="00376BC6" w:rsidRPr="005D1845" w:rsidRDefault="00591E0E" w:rsidP="00096C84">
      <w:pPr>
        <w:spacing w:after="0" w:line="240" w:lineRule="auto"/>
        <w:ind w:left="45" w:right="530"/>
        <w:rPr>
          <w:sz w:val="22"/>
        </w:rPr>
      </w:pPr>
      <w:r w:rsidRPr="005D1845">
        <w:rPr>
          <w:sz w:val="22"/>
        </w:rPr>
        <w:t>Mccallum, B</w:t>
      </w:r>
      <w:r w:rsidR="00105BBD" w:rsidRPr="005D1845">
        <w:rPr>
          <w:sz w:val="22"/>
        </w:rPr>
        <w:t>ennett t. (1996), “I</w:t>
      </w:r>
      <w:r w:rsidR="000D24C8" w:rsidRPr="005D1845">
        <w:rPr>
          <w:sz w:val="22"/>
        </w:rPr>
        <w:t>nflation T</w:t>
      </w:r>
      <w:r w:rsidR="006426FC" w:rsidRPr="005D1845">
        <w:rPr>
          <w:sz w:val="22"/>
        </w:rPr>
        <w:t xml:space="preserve">argeting in </w:t>
      </w:r>
      <w:r w:rsidR="00AF51DA" w:rsidRPr="005D1845">
        <w:rPr>
          <w:sz w:val="22"/>
        </w:rPr>
        <w:t>Canada</w:t>
      </w:r>
      <w:r w:rsidR="00105BBD" w:rsidRPr="005D1845">
        <w:rPr>
          <w:sz w:val="22"/>
        </w:rPr>
        <w:t>, New Z</w:t>
      </w:r>
      <w:r w:rsidR="006426FC" w:rsidRPr="005D1845">
        <w:rPr>
          <w:sz w:val="22"/>
        </w:rPr>
        <w:t>ealand,</w:t>
      </w:r>
      <w:r w:rsidR="00DA0862" w:rsidRPr="005D1845">
        <w:rPr>
          <w:sz w:val="22"/>
        </w:rPr>
        <w:t xml:space="preserve"> </w:t>
      </w:r>
      <w:r w:rsidR="00105BBD" w:rsidRPr="005D1845">
        <w:rPr>
          <w:sz w:val="22"/>
        </w:rPr>
        <w:t>Sweden, the U</w:t>
      </w:r>
      <w:r w:rsidR="006426FC" w:rsidRPr="005D1845">
        <w:rPr>
          <w:sz w:val="22"/>
        </w:rPr>
        <w:t>nited</w:t>
      </w:r>
      <w:r w:rsidR="00105BBD" w:rsidRPr="005D1845">
        <w:rPr>
          <w:sz w:val="22"/>
        </w:rPr>
        <w:t xml:space="preserve"> K</w:t>
      </w:r>
      <w:r w:rsidR="006426FC" w:rsidRPr="005D1845">
        <w:rPr>
          <w:sz w:val="22"/>
        </w:rPr>
        <w:t xml:space="preserve">ingdom, and in general”, </w:t>
      </w:r>
      <w:r w:rsidR="006426FC" w:rsidRPr="005D1845">
        <w:rPr>
          <w:i/>
          <w:sz w:val="22"/>
        </w:rPr>
        <w:t>working paper series</w:t>
      </w:r>
      <w:r w:rsidR="006426FC" w:rsidRPr="005D1845">
        <w:rPr>
          <w:sz w:val="22"/>
        </w:rPr>
        <w:t xml:space="preserve">, </w:t>
      </w:r>
      <w:r w:rsidR="000D24C8" w:rsidRPr="005D1845">
        <w:rPr>
          <w:sz w:val="22"/>
        </w:rPr>
        <w:t>NBER</w:t>
      </w:r>
      <w:r w:rsidR="006426FC" w:rsidRPr="005D1845">
        <w:rPr>
          <w:sz w:val="22"/>
        </w:rPr>
        <w:t xml:space="preserve">, no 5579, may. </w:t>
      </w:r>
    </w:p>
    <w:p w14:paraId="184A207F" w14:textId="77777777" w:rsidR="00CC65FD" w:rsidRPr="005D1845" w:rsidRDefault="00CC65FD" w:rsidP="00096C84">
      <w:pPr>
        <w:spacing w:after="0" w:line="240" w:lineRule="auto"/>
        <w:ind w:left="45" w:right="530"/>
        <w:rPr>
          <w:sz w:val="22"/>
        </w:rPr>
      </w:pPr>
    </w:p>
    <w:p w14:paraId="62B8143D" w14:textId="7B200BE7" w:rsidR="00376BC6" w:rsidRPr="005D1845" w:rsidRDefault="00591E0E" w:rsidP="00096C84">
      <w:pPr>
        <w:spacing w:after="0" w:line="240" w:lineRule="auto"/>
        <w:ind w:left="45" w:right="530"/>
        <w:rPr>
          <w:sz w:val="22"/>
        </w:rPr>
      </w:pPr>
      <w:r w:rsidRPr="005D1845">
        <w:rPr>
          <w:sz w:val="22"/>
        </w:rPr>
        <w:t>Mishkin, F</w:t>
      </w:r>
      <w:r w:rsidR="006C27A0" w:rsidRPr="005D1845">
        <w:rPr>
          <w:sz w:val="22"/>
        </w:rPr>
        <w:t>rederic s. (2000b), “I</w:t>
      </w:r>
      <w:r w:rsidR="006426FC" w:rsidRPr="005D1845">
        <w:rPr>
          <w:sz w:val="22"/>
        </w:rPr>
        <w:t>nfl</w:t>
      </w:r>
      <w:r w:rsidR="00B87AEA" w:rsidRPr="005D1845">
        <w:rPr>
          <w:sz w:val="22"/>
        </w:rPr>
        <w:t>ation Targeting in Emerging Market C</w:t>
      </w:r>
      <w:r w:rsidR="006426FC" w:rsidRPr="005D1845">
        <w:rPr>
          <w:sz w:val="22"/>
        </w:rPr>
        <w:t xml:space="preserve">ountries”, </w:t>
      </w:r>
      <w:r w:rsidR="006426FC" w:rsidRPr="005D1845">
        <w:rPr>
          <w:i/>
          <w:sz w:val="22"/>
        </w:rPr>
        <w:t>working paper series</w:t>
      </w:r>
      <w:r w:rsidR="006426FC" w:rsidRPr="005D1845">
        <w:rPr>
          <w:sz w:val="22"/>
        </w:rPr>
        <w:t xml:space="preserve">, </w:t>
      </w:r>
      <w:r w:rsidR="00B9108D" w:rsidRPr="005D1845">
        <w:rPr>
          <w:sz w:val="22"/>
        </w:rPr>
        <w:t>NBER</w:t>
      </w:r>
      <w:r w:rsidR="00AC02A6" w:rsidRPr="005D1845">
        <w:rPr>
          <w:sz w:val="22"/>
        </w:rPr>
        <w:t>, nro.</w:t>
      </w:r>
      <w:r w:rsidR="00F84EA8" w:rsidRPr="005D1845">
        <w:rPr>
          <w:sz w:val="22"/>
        </w:rPr>
        <w:t xml:space="preserve"> 7618, march.</w:t>
      </w:r>
    </w:p>
    <w:p w14:paraId="32F1DB9B" w14:textId="77777777" w:rsidR="00F84EA8" w:rsidRPr="005D1845" w:rsidRDefault="00F84EA8" w:rsidP="00F84EA8">
      <w:pPr>
        <w:spacing w:after="0" w:line="240" w:lineRule="auto"/>
        <w:ind w:left="45" w:right="530"/>
        <w:rPr>
          <w:sz w:val="22"/>
        </w:rPr>
      </w:pPr>
    </w:p>
    <w:p w14:paraId="5F57585A" w14:textId="40A719C4" w:rsidR="00F84EA8" w:rsidRPr="005D1845" w:rsidRDefault="000748AB" w:rsidP="00F84EA8">
      <w:pPr>
        <w:spacing w:after="0" w:line="240" w:lineRule="auto"/>
        <w:ind w:left="45" w:right="530"/>
        <w:rPr>
          <w:sz w:val="22"/>
        </w:rPr>
      </w:pPr>
      <w:r w:rsidRPr="005D1845">
        <w:rPr>
          <w:sz w:val="22"/>
          <w:lang w:val="es-BO"/>
        </w:rPr>
        <w:t>Minsky</w:t>
      </w:r>
      <w:r w:rsidR="00F84EA8" w:rsidRPr="005D1845">
        <w:rPr>
          <w:sz w:val="22"/>
          <w:lang w:val="es-BO"/>
        </w:rPr>
        <w:t xml:space="preserve">, F., y M. Savastano (2001). </w:t>
      </w:r>
      <w:r w:rsidR="00F84EA8" w:rsidRPr="005D1845">
        <w:rPr>
          <w:sz w:val="22"/>
        </w:rPr>
        <w:t xml:space="preserve">“Monetary Policy Strategies for Latin America”, </w:t>
      </w:r>
      <w:r w:rsidR="00F84EA8" w:rsidRPr="005D1845">
        <w:rPr>
          <w:i/>
          <w:sz w:val="22"/>
        </w:rPr>
        <w:t xml:space="preserve">Journal of Development Economics, </w:t>
      </w:r>
      <w:r w:rsidR="00F84EA8" w:rsidRPr="005D1845">
        <w:rPr>
          <w:sz w:val="22"/>
        </w:rPr>
        <w:t>66, pp. 415-444.</w:t>
      </w:r>
    </w:p>
    <w:p w14:paraId="7B83E20E" w14:textId="69B4102B" w:rsidR="000D24C8" w:rsidRPr="005D1845" w:rsidRDefault="000D24C8" w:rsidP="00F84EA8">
      <w:pPr>
        <w:spacing w:after="0" w:line="240" w:lineRule="auto"/>
        <w:ind w:left="45" w:right="530"/>
        <w:rPr>
          <w:i/>
          <w:sz w:val="22"/>
        </w:rPr>
      </w:pPr>
    </w:p>
    <w:p w14:paraId="46716DAD" w14:textId="04A3E402" w:rsidR="005148B6" w:rsidRPr="005D1845" w:rsidRDefault="000748AB" w:rsidP="005148B6">
      <w:pPr>
        <w:spacing w:after="0" w:line="240" w:lineRule="auto"/>
        <w:ind w:right="530"/>
        <w:rPr>
          <w:sz w:val="22"/>
        </w:rPr>
      </w:pPr>
      <w:r w:rsidRPr="005D1845">
        <w:rPr>
          <w:sz w:val="22"/>
        </w:rPr>
        <w:t>Minsky</w:t>
      </w:r>
      <w:r w:rsidR="00D605BE" w:rsidRPr="005D1845">
        <w:rPr>
          <w:sz w:val="22"/>
        </w:rPr>
        <w:t xml:space="preserve"> F., y K. Schmidt-Hebbel (2007). “</w:t>
      </w:r>
      <w:hyperlink r:id="rId113" w:history="1">
        <w:r w:rsidR="00D605BE" w:rsidRPr="005D1845">
          <w:rPr>
            <w:sz w:val="22"/>
          </w:rPr>
          <w:t>Does Inflation Targeting Make a Difference?</w:t>
        </w:r>
      </w:hyperlink>
      <w:r w:rsidR="00D605BE" w:rsidRPr="005D1845">
        <w:rPr>
          <w:sz w:val="22"/>
        </w:rPr>
        <w:t>” in Frederic S. Miskin and Klaus Schmidt-Hebbel (eds.), Central Banking, Analysis, and Economic Policies Book Series, vol. 11, Central Bank of Chile.</w:t>
      </w:r>
      <w:r w:rsidR="005148B6" w:rsidRPr="005D1845">
        <w:rPr>
          <w:sz w:val="22"/>
        </w:rPr>
        <w:t xml:space="preserve"> </w:t>
      </w:r>
    </w:p>
    <w:p w14:paraId="241535CC" w14:textId="77777777" w:rsidR="005148B6" w:rsidRPr="005D1845" w:rsidRDefault="005148B6" w:rsidP="005148B6">
      <w:pPr>
        <w:spacing w:after="0" w:line="240" w:lineRule="auto"/>
        <w:ind w:right="530"/>
        <w:rPr>
          <w:sz w:val="22"/>
        </w:rPr>
      </w:pPr>
    </w:p>
    <w:p w14:paraId="51849FED" w14:textId="7D143F14" w:rsidR="00E046A0" w:rsidRPr="005D1845" w:rsidRDefault="005148B6" w:rsidP="005148B6">
      <w:pPr>
        <w:spacing w:after="0" w:line="240" w:lineRule="auto"/>
        <w:ind w:right="530"/>
        <w:rPr>
          <w:sz w:val="22"/>
        </w:rPr>
      </w:pPr>
      <w:r w:rsidRPr="005D1845">
        <w:rPr>
          <w:sz w:val="22"/>
        </w:rPr>
        <w:t xml:space="preserve">Minsky, Hyman (1992-1993), “On the Non-Neutrality of Money”, </w:t>
      </w:r>
      <w:r w:rsidRPr="005D1845">
        <w:rPr>
          <w:i/>
          <w:sz w:val="22"/>
        </w:rPr>
        <w:t>FRBNY</w:t>
      </w:r>
      <w:r w:rsidRPr="005D1845">
        <w:rPr>
          <w:sz w:val="22"/>
        </w:rPr>
        <w:t xml:space="preserve"> Quarterly Review, pp. 77-82.</w:t>
      </w:r>
    </w:p>
    <w:p w14:paraId="0CC4D403" w14:textId="77777777" w:rsidR="005148B6" w:rsidRPr="005D1845" w:rsidRDefault="005148B6" w:rsidP="005148B6">
      <w:pPr>
        <w:spacing w:after="0" w:line="240" w:lineRule="auto"/>
        <w:ind w:right="530"/>
        <w:rPr>
          <w:sz w:val="22"/>
        </w:rPr>
      </w:pPr>
    </w:p>
    <w:p w14:paraId="53BFD7C5" w14:textId="18021D00" w:rsidR="00F84EA8" w:rsidRPr="005D1845" w:rsidRDefault="00E046A0" w:rsidP="00E046A0">
      <w:pPr>
        <w:spacing w:after="0" w:line="240" w:lineRule="auto"/>
        <w:ind w:left="45" w:right="530"/>
        <w:rPr>
          <w:sz w:val="22"/>
        </w:rPr>
      </w:pPr>
      <w:r w:rsidRPr="005D1845">
        <w:rPr>
          <w:sz w:val="22"/>
        </w:rPr>
        <w:t>Mohnot, R. (2011), “Forecasting forex volatility in turbulent times”, global journal o</w:t>
      </w:r>
      <w:r w:rsidR="00AC02A6" w:rsidRPr="005D1845">
        <w:rPr>
          <w:sz w:val="22"/>
        </w:rPr>
        <w:t>f business research, vol. 5, nro</w:t>
      </w:r>
      <w:r w:rsidRPr="005D1845">
        <w:rPr>
          <w:sz w:val="22"/>
        </w:rPr>
        <w:t xml:space="preserve">. 1, pp. 27-38. </w:t>
      </w:r>
    </w:p>
    <w:p w14:paraId="3888FA6C" w14:textId="77777777" w:rsidR="00E046A0" w:rsidRPr="005D1845" w:rsidRDefault="00E046A0" w:rsidP="00E046A0">
      <w:pPr>
        <w:spacing w:after="0" w:line="240" w:lineRule="auto"/>
        <w:ind w:left="45" w:right="530"/>
        <w:rPr>
          <w:sz w:val="22"/>
        </w:rPr>
      </w:pPr>
    </w:p>
    <w:p w14:paraId="01C58413" w14:textId="29E40306" w:rsidR="00F84EA8" w:rsidRPr="005D1845" w:rsidRDefault="00F84EA8" w:rsidP="00F84EA8">
      <w:pPr>
        <w:spacing w:after="0" w:line="240" w:lineRule="auto"/>
        <w:ind w:left="45" w:right="530"/>
        <w:rPr>
          <w:sz w:val="22"/>
        </w:rPr>
      </w:pPr>
      <w:r w:rsidRPr="005D1845">
        <w:rPr>
          <w:sz w:val="22"/>
        </w:rPr>
        <w:t>Morandé, Felipe G. (2002), “A Decade of Inflation Targeting in Chile: Developments, lessons, and challenges”, en Norman Loayza, y Raimundo Soto (eds.), Inflation targeting: Design, performance, challenges, Santiago, Banco Central de Chile, pp. 583-626.</w:t>
      </w:r>
    </w:p>
    <w:p w14:paraId="2B54BE25" w14:textId="4DE05048" w:rsidR="00F84EA8" w:rsidRPr="005D1845" w:rsidRDefault="00F84EA8" w:rsidP="00F84EA8">
      <w:pPr>
        <w:spacing w:after="0" w:line="240" w:lineRule="auto"/>
        <w:ind w:left="45" w:right="530"/>
        <w:rPr>
          <w:sz w:val="22"/>
        </w:rPr>
      </w:pPr>
    </w:p>
    <w:p w14:paraId="3174BF89" w14:textId="162F73DB" w:rsidR="00F84EA8" w:rsidRPr="005D1845" w:rsidRDefault="00F84EA8" w:rsidP="00F84EA8">
      <w:pPr>
        <w:spacing w:after="0" w:line="240" w:lineRule="auto"/>
        <w:ind w:left="45" w:right="530"/>
        <w:rPr>
          <w:sz w:val="22"/>
        </w:rPr>
      </w:pPr>
      <w:r w:rsidRPr="005D1845">
        <w:rPr>
          <w:sz w:val="22"/>
        </w:rPr>
        <w:t xml:space="preserve">Nelson, D.B. (1991) “Condicional Heteroskedasticity in Asset Returns: A New Approach”, </w:t>
      </w:r>
      <w:r w:rsidRPr="005D1845">
        <w:rPr>
          <w:i/>
          <w:sz w:val="22"/>
        </w:rPr>
        <w:t xml:space="preserve">Econometrica </w:t>
      </w:r>
      <w:r w:rsidRPr="005D1845">
        <w:rPr>
          <w:sz w:val="22"/>
        </w:rPr>
        <w:t xml:space="preserve">59(2), </w:t>
      </w:r>
      <w:r w:rsidR="00AC02A6" w:rsidRPr="005D1845">
        <w:rPr>
          <w:sz w:val="22"/>
        </w:rPr>
        <w:t xml:space="preserve">pp. </w:t>
      </w:r>
      <w:r w:rsidRPr="005D1845">
        <w:rPr>
          <w:sz w:val="22"/>
        </w:rPr>
        <w:t xml:space="preserve">347-70.  </w:t>
      </w:r>
    </w:p>
    <w:p w14:paraId="1D0BFEF1" w14:textId="77777777" w:rsidR="00977181" w:rsidRPr="005D1845" w:rsidRDefault="00977181" w:rsidP="00977181">
      <w:pPr>
        <w:spacing w:after="0" w:line="240" w:lineRule="auto"/>
        <w:ind w:left="45" w:right="533" w:hanging="11"/>
        <w:rPr>
          <w:sz w:val="22"/>
        </w:rPr>
      </w:pPr>
    </w:p>
    <w:p w14:paraId="284A0621" w14:textId="1898128A" w:rsidR="00977181" w:rsidRPr="005D1845" w:rsidRDefault="00977181" w:rsidP="00977181">
      <w:pPr>
        <w:spacing w:after="0" w:line="240" w:lineRule="auto"/>
        <w:ind w:left="45" w:right="533" w:hanging="11"/>
        <w:rPr>
          <w:sz w:val="22"/>
        </w:rPr>
      </w:pPr>
      <w:r w:rsidRPr="005D1845">
        <w:rPr>
          <w:sz w:val="22"/>
        </w:rPr>
        <w:t xml:space="preserve">Neely  C.J.  (2000a),  “Are  Changes  in  Foreign  Exchange  Reserves  Well </w:t>
      </w:r>
    </w:p>
    <w:p w14:paraId="3AD9D710" w14:textId="77777777" w:rsidR="00977181" w:rsidRPr="005D1845" w:rsidRDefault="00977181" w:rsidP="00977181">
      <w:pPr>
        <w:spacing w:after="0" w:line="240" w:lineRule="auto"/>
        <w:ind w:left="45" w:right="533" w:hanging="11"/>
        <w:rPr>
          <w:sz w:val="22"/>
        </w:rPr>
      </w:pPr>
      <w:r w:rsidRPr="005D1845">
        <w:rPr>
          <w:sz w:val="22"/>
        </w:rPr>
        <w:t xml:space="preserve">Correlated with Official Intervention?”,  Federal Reserve Bank of St. Louis </w:t>
      </w:r>
    </w:p>
    <w:p w14:paraId="6A0FD4C0" w14:textId="521C47B2" w:rsidR="00F84EA8" w:rsidRPr="005D1845" w:rsidRDefault="00977181" w:rsidP="00977181">
      <w:pPr>
        <w:spacing w:after="0" w:line="240" w:lineRule="auto"/>
        <w:ind w:left="45" w:right="533" w:hanging="11"/>
        <w:rPr>
          <w:sz w:val="22"/>
          <w:lang w:val="es-BO"/>
        </w:rPr>
      </w:pPr>
      <w:r w:rsidRPr="005D1845">
        <w:rPr>
          <w:sz w:val="22"/>
          <w:lang w:val="es-BO"/>
        </w:rPr>
        <w:t>Review, Vol. 82, No. 5, Septiembre-octubre, pp. 17-32</w:t>
      </w:r>
    </w:p>
    <w:p w14:paraId="03CA5C18" w14:textId="77777777" w:rsidR="00977181" w:rsidRPr="005D1845" w:rsidRDefault="00977181" w:rsidP="00406CA5">
      <w:pPr>
        <w:spacing w:after="0" w:line="240" w:lineRule="auto"/>
        <w:ind w:left="45" w:right="530"/>
        <w:rPr>
          <w:sz w:val="22"/>
          <w:lang w:val="es-BO"/>
        </w:rPr>
      </w:pPr>
    </w:p>
    <w:p w14:paraId="12618159" w14:textId="3F28301B" w:rsidR="00406CA5" w:rsidRPr="005D1845" w:rsidRDefault="00406CA5" w:rsidP="00406CA5">
      <w:pPr>
        <w:spacing w:after="0" w:line="240" w:lineRule="auto"/>
        <w:ind w:left="45" w:right="530"/>
        <w:rPr>
          <w:sz w:val="22"/>
          <w:lang w:val="es-BO"/>
        </w:rPr>
      </w:pPr>
      <w:r w:rsidRPr="005D1845">
        <w:rPr>
          <w:sz w:val="22"/>
        </w:rPr>
        <w:t xml:space="preserve">Neely, A., Adams, Ch., Kennerley, M., (2001). “The Performance Prism: The Scorecard for Measuring and Managing Business Success”. </w:t>
      </w:r>
      <w:r w:rsidRPr="005D1845">
        <w:rPr>
          <w:sz w:val="22"/>
          <w:lang w:val="es-BO"/>
        </w:rPr>
        <w:t>Financial Times Prentice Hall.</w:t>
      </w:r>
    </w:p>
    <w:p w14:paraId="299E9B93" w14:textId="24E1BCBD" w:rsidR="00977181" w:rsidRPr="005D1845" w:rsidRDefault="00977181" w:rsidP="00406CA5">
      <w:pPr>
        <w:spacing w:after="0" w:line="240" w:lineRule="auto"/>
        <w:ind w:left="45" w:right="530"/>
        <w:rPr>
          <w:sz w:val="22"/>
          <w:lang w:val="es-BO"/>
        </w:rPr>
      </w:pPr>
    </w:p>
    <w:p w14:paraId="03125B48" w14:textId="650BB3DC" w:rsidR="00977181" w:rsidRPr="005D1845" w:rsidRDefault="006603C8" w:rsidP="006603C8">
      <w:pPr>
        <w:spacing w:after="0" w:line="240" w:lineRule="auto"/>
        <w:ind w:left="45" w:right="530"/>
        <w:rPr>
          <w:sz w:val="22"/>
        </w:rPr>
      </w:pPr>
      <w:r w:rsidRPr="005D1845">
        <w:rPr>
          <w:sz w:val="22"/>
          <w:lang w:val="es-BO"/>
        </w:rPr>
        <w:t>Noyola J. (1956) “El Desarrollo Económico y la</w:t>
      </w:r>
      <w:r w:rsidR="00977181" w:rsidRPr="005D1845">
        <w:rPr>
          <w:sz w:val="22"/>
          <w:lang w:val="es-BO"/>
        </w:rPr>
        <w:t xml:space="preserve"> </w:t>
      </w:r>
      <w:r w:rsidRPr="005D1845">
        <w:rPr>
          <w:sz w:val="22"/>
          <w:lang w:val="es-BO"/>
        </w:rPr>
        <w:t xml:space="preserve">Inflación en México y otros países latinoamericanos”, Revista Investigación Económica, Vol. </w:t>
      </w:r>
      <w:r w:rsidRPr="005D1845">
        <w:rPr>
          <w:sz w:val="22"/>
        </w:rPr>
        <w:t xml:space="preserve">XVI, No.  4, 4º </w:t>
      </w:r>
      <w:r w:rsidR="00977181" w:rsidRPr="005D1845">
        <w:rPr>
          <w:sz w:val="22"/>
        </w:rPr>
        <w:t>trimestre, pp. 603-616.</w:t>
      </w:r>
    </w:p>
    <w:p w14:paraId="365E0726" w14:textId="77777777" w:rsidR="00406CA5" w:rsidRPr="005D1845" w:rsidRDefault="00406CA5" w:rsidP="00F84EA8">
      <w:pPr>
        <w:spacing w:after="0" w:line="240" w:lineRule="auto"/>
        <w:ind w:left="45" w:right="533" w:hanging="11"/>
        <w:rPr>
          <w:sz w:val="22"/>
        </w:rPr>
      </w:pPr>
    </w:p>
    <w:p w14:paraId="211E8D17" w14:textId="5F51268C" w:rsidR="00F84EA8" w:rsidRPr="005D1845" w:rsidRDefault="00F84EA8" w:rsidP="00F84EA8">
      <w:pPr>
        <w:spacing w:after="0" w:line="240" w:lineRule="auto"/>
        <w:ind w:left="45" w:right="530"/>
        <w:rPr>
          <w:sz w:val="22"/>
        </w:rPr>
      </w:pPr>
      <w:r w:rsidRPr="005D1845">
        <w:rPr>
          <w:sz w:val="22"/>
        </w:rPr>
        <w:t>Olowe, R.A. (</w:t>
      </w:r>
      <w:r w:rsidR="005D6CFD" w:rsidRPr="005D1845">
        <w:rPr>
          <w:sz w:val="22"/>
        </w:rPr>
        <w:t>2009), “Modelling naira/dollar Exchange Rate Volatility: A</w:t>
      </w:r>
      <w:r w:rsidRPr="005D1845">
        <w:rPr>
          <w:sz w:val="22"/>
        </w:rPr>
        <w:t>ppl</w:t>
      </w:r>
      <w:r w:rsidR="005D6CFD" w:rsidRPr="005D1845">
        <w:rPr>
          <w:sz w:val="22"/>
        </w:rPr>
        <w:t>ication of Garch and Assymetric M</w:t>
      </w:r>
      <w:r w:rsidRPr="005D1845">
        <w:rPr>
          <w:sz w:val="22"/>
        </w:rPr>
        <w:t xml:space="preserve">odels”, </w:t>
      </w:r>
      <w:r w:rsidRPr="005D1845">
        <w:rPr>
          <w:i/>
          <w:sz w:val="22"/>
        </w:rPr>
        <w:t>International Review of Business</w:t>
      </w:r>
      <w:r w:rsidR="00AC02A6" w:rsidRPr="005D1845">
        <w:rPr>
          <w:sz w:val="22"/>
        </w:rPr>
        <w:t xml:space="preserve"> Research Papers, vol. 5, nro</w:t>
      </w:r>
      <w:r w:rsidRPr="005D1845">
        <w:rPr>
          <w:sz w:val="22"/>
        </w:rPr>
        <w:t xml:space="preserve">. 3, pp. 377-398. </w:t>
      </w:r>
    </w:p>
    <w:p w14:paraId="2E2F40F2" w14:textId="20D6B570" w:rsidR="004B0134" w:rsidRPr="005D1845" w:rsidRDefault="004B0134" w:rsidP="00DC2350">
      <w:pPr>
        <w:spacing w:after="0" w:line="240" w:lineRule="auto"/>
        <w:ind w:left="45" w:right="527" w:hanging="11"/>
        <w:rPr>
          <w:sz w:val="22"/>
        </w:rPr>
      </w:pPr>
    </w:p>
    <w:p w14:paraId="67FB3C1D" w14:textId="7308D3FA" w:rsidR="004B0134" w:rsidRPr="005D1845" w:rsidRDefault="00DC2350" w:rsidP="00DC2350">
      <w:pPr>
        <w:spacing w:after="0" w:line="240" w:lineRule="auto"/>
        <w:ind w:left="45" w:right="527" w:hanging="11"/>
        <w:rPr>
          <w:sz w:val="22"/>
          <w:lang w:val="es-BO"/>
        </w:rPr>
      </w:pPr>
      <w:r w:rsidRPr="005D1845">
        <w:rPr>
          <w:sz w:val="22"/>
          <w:lang w:val="es-BO"/>
        </w:rPr>
        <w:t>Oreiro y N. Marconi (2014), “A Theoretical Framework for a Structuralist Development M</w:t>
      </w:r>
      <w:r w:rsidR="004B0134" w:rsidRPr="005D1845">
        <w:rPr>
          <w:sz w:val="22"/>
          <w:lang w:val="es-BO"/>
        </w:rPr>
        <w:t>acroeconomics”, Anais do XLI Encontro Nacional de Economia 027, Associación Nacional dos Centros de Posgrado en Economia ANPEC</w:t>
      </w:r>
      <w:r w:rsidR="00024D18" w:rsidRPr="005D1845">
        <w:rPr>
          <w:sz w:val="22"/>
          <w:lang w:val="es-BO"/>
        </w:rPr>
        <w:t>, Brasil</w:t>
      </w:r>
      <w:r w:rsidR="004B0134" w:rsidRPr="005D1845">
        <w:rPr>
          <w:sz w:val="22"/>
          <w:lang w:val="es-BO"/>
        </w:rPr>
        <w:t>.</w:t>
      </w:r>
    </w:p>
    <w:p w14:paraId="18ECE636" w14:textId="77777777" w:rsidR="00F84EA8" w:rsidRPr="005D1845" w:rsidRDefault="00F84EA8" w:rsidP="00F84EA8">
      <w:pPr>
        <w:spacing w:after="0" w:line="240" w:lineRule="auto"/>
        <w:ind w:left="45" w:right="533" w:hanging="11"/>
        <w:rPr>
          <w:sz w:val="22"/>
          <w:lang w:val="es-BO"/>
        </w:rPr>
      </w:pPr>
    </w:p>
    <w:p w14:paraId="214100EE" w14:textId="56F0AC53" w:rsidR="00F84EA8" w:rsidRPr="005D1845" w:rsidRDefault="00F84EA8" w:rsidP="00F84EA8">
      <w:pPr>
        <w:spacing w:after="0" w:line="240" w:lineRule="auto"/>
        <w:ind w:left="45" w:right="533" w:hanging="11"/>
        <w:rPr>
          <w:sz w:val="22"/>
        </w:rPr>
      </w:pPr>
      <w:r w:rsidRPr="005D1845">
        <w:rPr>
          <w:sz w:val="22"/>
        </w:rPr>
        <w:t>Ostry, J., A. Ghosh, K. Habermeier, M. Chamon, M. Qureshi y D. Reinhardt (2010). “Capital Inflows: The Role of Controls.” IMF Staff Position Note, SPN/10/04.</w:t>
      </w:r>
    </w:p>
    <w:p w14:paraId="63485B49" w14:textId="2767A34C" w:rsidR="00CC65FD" w:rsidRPr="005D1845" w:rsidRDefault="00CC65FD" w:rsidP="00F84EA8">
      <w:pPr>
        <w:spacing w:after="0" w:line="240" w:lineRule="auto"/>
        <w:ind w:left="0" w:right="530" w:firstLine="0"/>
        <w:rPr>
          <w:sz w:val="22"/>
        </w:rPr>
      </w:pPr>
    </w:p>
    <w:p w14:paraId="3884E9F2" w14:textId="368F15DA" w:rsidR="00AC506F" w:rsidRPr="005D1845" w:rsidRDefault="009C082F" w:rsidP="009C082F">
      <w:pPr>
        <w:spacing w:after="0" w:line="240" w:lineRule="auto"/>
        <w:ind w:left="45" w:right="530"/>
        <w:rPr>
          <w:sz w:val="22"/>
        </w:rPr>
      </w:pPr>
      <w:r w:rsidRPr="005D1845">
        <w:rPr>
          <w:sz w:val="22"/>
        </w:rPr>
        <w:t xml:space="preserve">Padoa-Schioppa, T. (1994). </w:t>
      </w:r>
      <w:r w:rsidR="00AC506F" w:rsidRPr="005D1845">
        <w:rPr>
          <w:sz w:val="22"/>
        </w:rPr>
        <w:t>“Adapti</w:t>
      </w:r>
      <w:r w:rsidRPr="005D1845">
        <w:rPr>
          <w:sz w:val="22"/>
        </w:rPr>
        <w:t>ng Central Banking to Changing E</w:t>
      </w:r>
      <w:r w:rsidR="00AC506F" w:rsidRPr="005D1845">
        <w:rPr>
          <w:sz w:val="22"/>
        </w:rPr>
        <w:t>nvironment”, Fondo Monetario Internacional, Washington.</w:t>
      </w:r>
    </w:p>
    <w:p w14:paraId="02BF8581" w14:textId="77777777" w:rsidR="00AC506F" w:rsidRPr="005D1845" w:rsidRDefault="00AC506F" w:rsidP="00AC506F">
      <w:pPr>
        <w:spacing w:after="0" w:line="240" w:lineRule="auto"/>
        <w:ind w:left="45" w:right="530"/>
        <w:rPr>
          <w:sz w:val="22"/>
        </w:rPr>
      </w:pPr>
    </w:p>
    <w:p w14:paraId="0D26335D" w14:textId="6F5F5D23" w:rsidR="00376BC6" w:rsidRPr="005D1845" w:rsidRDefault="00591E0E" w:rsidP="00096C84">
      <w:pPr>
        <w:spacing w:after="0" w:line="240" w:lineRule="auto"/>
        <w:ind w:left="45" w:right="530"/>
        <w:rPr>
          <w:sz w:val="22"/>
          <w:lang w:val="es-BO"/>
        </w:rPr>
      </w:pPr>
      <w:r w:rsidRPr="005D1845">
        <w:rPr>
          <w:sz w:val="22"/>
          <w:lang w:val="es-BO"/>
        </w:rPr>
        <w:t>P</w:t>
      </w:r>
      <w:r w:rsidR="006426FC" w:rsidRPr="005D1845">
        <w:rPr>
          <w:sz w:val="22"/>
          <w:lang w:val="es-BO"/>
        </w:rPr>
        <w:t xml:space="preserve">errotini, </w:t>
      </w:r>
      <w:r w:rsidR="00671986" w:rsidRPr="005D1845">
        <w:rPr>
          <w:sz w:val="22"/>
          <w:lang w:val="es-BO"/>
        </w:rPr>
        <w:t>Ignacio</w:t>
      </w:r>
      <w:r w:rsidR="006426FC" w:rsidRPr="005D1845">
        <w:rPr>
          <w:sz w:val="22"/>
          <w:lang w:val="es-BO"/>
        </w:rPr>
        <w:t xml:space="preserve"> (2007</w:t>
      </w:r>
      <w:r w:rsidR="00DD2B4E" w:rsidRPr="005D1845">
        <w:rPr>
          <w:sz w:val="22"/>
          <w:lang w:val="es-BO"/>
        </w:rPr>
        <w:t>), “E</w:t>
      </w:r>
      <w:r w:rsidR="006426FC" w:rsidRPr="005D1845">
        <w:rPr>
          <w:sz w:val="22"/>
          <w:lang w:val="es-BO"/>
        </w:rPr>
        <w:t xml:space="preserve">l nuevo paradigma monetario”. </w:t>
      </w:r>
      <w:r w:rsidR="00C07FFE" w:rsidRPr="005D1845">
        <w:rPr>
          <w:i/>
          <w:sz w:val="22"/>
          <w:lang w:val="es-BO"/>
        </w:rPr>
        <w:t>Revista E</w:t>
      </w:r>
      <w:r w:rsidR="006426FC" w:rsidRPr="005D1845">
        <w:rPr>
          <w:i/>
          <w:sz w:val="22"/>
          <w:lang w:val="es-BO"/>
        </w:rPr>
        <w:t>conomía</w:t>
      </w:r>
      <w:r w:rsidR="006426FC" w:rsidRPr="005D1845">
        <w:rPr>
          <w:sz w:val="22"/>
          <w:lang w:val="es-BO"/>
        </w:rPr>
        <w:t xml:space="preserve">, </w:t>
      </w:r>
      <w:r w:rsidR="00906D38" w:rsidRPr="005D1845">
        <w:rPr>
          <w:sz w:val="22"/>
          <w:lang w:val="es-BO"/>
        </w:rPr>
        <w:t>UNAM</w:t>
      </w:r>
      <w:r w:rsidR="006426FC" w:rsidRPr="005D1845">
        <w:rPr>
          <w:sz w:val="22"/>
          <w:lang w:val="es-BO"/>
        </w:rPr>
        <w:t xml:space="preserve">. número 11. </w:t>
      </w:r>
      <w:r w:rsidR="00671986" w:rsidRPr="005D1845">
        <w:rPr>
          <w:sz w:val="22"/>
          <w:lang w:val="es-BO"/>
        </w:rPr>
        <w:t>México</w:t>
      </w:r>
      <w:r w:rsidR="006426FC" w:rsidRPr="005D1845">
        <w:rPr>
          <w:sz w:val="22"/>
          <w:lang w:val="es-BO"/>
        </w:rPr>
        <w:t xml:space="preserve">, mayo-agosto. </w:t>
      </w:r>
      <w:r w:rsidR="00671986" w:rsidRPr="005D1845">
        <w:rPr>
          <w:sz w:val="22"/>
          <w:lang w:val="es-BO"/>
        </w:rPr>
        <w:t>pp</w:t>
      </w:r>
      <w:r w:rsidR="006426FC" w:rsidRPr="005D1845">
        <w:rPr>
          <w:sz w:val="22"/>
          <w:lang w:val="es-BO"/>
        </w:rPr>
        <w:t xml:space="preserve">. 64-82. </w:t>
      </w:r>
    </w:p>
    <w:p w14:paraId="7C72FD41" w14:textId="77777777" w:rsidR="00CC65FD" w:rsidRPr="005D1845" w:rsidRDefault="00CC65FD" w:rsidP="00096C84">
      <w:pPr>
        <w:spacing w:after="0" w:line="240" w:lineRule="auto"/>
        <w:ind w:left="45" w:right="530"/>
        <w:rPr>
          <w:sz w:val="22"/>
          <w:lang w:val="es-BO"/>
        </w:rPr>
      </w:pPr>
    </w:p>
    <w:p w14:paraId="5700B6B1" w14:textId="1567B8AF" w:rsidR="00C02353" w:rsidRPr="005D1845" w:rsidRDefault="00C02353" w:rsidP="00096C84">
      <w:pPr>
        <w:spacing w:after="0" w:line="240" w:lineRule="auto"/>
        <w:ind w:left="45" w:right="530"/>
        <w:rPr>
          <w:sz w:val="22"/>
          <w:lang w:val="es-BO"/>
        </w:rPr>
      </w:pPr>
      <w:r w:rsidRPr="005D1845">
        <w:rPr>
          <w:sz w:val="22"/>
          <w:lang w:val="es-BO"/>
        </w:rPr>
        <w:t>Perrotini, Ignacio (2008), “La Crisis de Financiarización y su Impacto en México</w:t>
      </w:r>
      <w:r w:rsidR="00906D38" w:rsidRPr="005D1845">
        <w:rPr>
          <w:sz w:val="22"/>
          <w:lang w:val="es-BO"/>
        </w:rPr>
        <w:t xml:space="preserve">”, Versus: Revista de Ciências </w:t>
      </w:r>
      <w:r w:rsidRPr="005D1845">
        <w:rPr>
          <w:sz w:val="22"/>
          <w:lang w:val="es-BO"/>
        </w:rPr>
        <w:t>Sociais Aplicadas do Universidade Federal de Rio de Janeiro, Brasil, año 1, núm. 0, diciembre, páginas 61-74.</w:t>
      </w:r>
    </w:p>
    <w:p w14:paraId="46D3036B" w14:textId="4BD5C803" w:rsidR="00914110" w:rsidRPr="005D1845" w:rsidRDefault="00914110" w:rsidP="00F84EA8">
      <w:pPr>
        <w:spacing w:after="0" w:line="240" w:lineRule="auto"/>
        <w:ind w:left="0" w:right="533" w:firstLine="0"/>
        <w:rPr>
          <w:sz w:val="22"/>
          <w:lang w:val="es-BO"/>
        </w:rPr>
      </w:pPr>
    </w:p>
    <w:p w14:paraId="605E38EA" w14:textId="03B077C4" w:rsidR="00E046A0" w:rsidRPr="005D1845" w:rsidRDefault="00E046A0" w:rsidP="00E046A0">
      <w:pPr>
        <w:spacing w:after="0" w:line="240" w:lineRule="auto"/>
        <w:ind w:left="45" w:right="530"/>
        <w:rPr>
          <w:sz w:val="22"/>
          <w:lang w:val="es-BO"/>
        </w:rPr>
      </w:pPr>
      <w:r w:rsidRPr="005D1845">
        <w:rPr>
          <w:sz w:val="22"/>
          <w:lang w:val="es-BO"/>
        </w:rPr>
        <w:t>Ramos Francia, M. y A. Torres García (2005). “Reducing Inflation through Inflation Targeting: The Mexican Experience”, Documento de Trabajo nro. 2005-01, Banco de México, México, julio, 2005.</w:t>
      </w:r>
    </w:p>
    <w:p w14:paraId="23EF4C08" w14:textId="5B68B393" w:rsidR="000F6E70" w:rsidRPr="005D1845" w:rsidRDefault="000F6E70" w:rsidP="00E046A0">
      <w:pPr>
        <w:spacing w:after="0" w:line="240" w:lineRule="auto"/>
        <w:ind w:left="45" w:right="530"/>
        <w:rPr>
          <w:sz w:val="22"/>
          <w:lang w:val="es-BO"/>
        </w:rPr>
      </w:pPr>
    </w:p>
    <w:p w14:paraId="5ABDEF49" w14:textId="4C2D445E" w:rsidR="000F6E70" w:rsidRPr="005D1845" w:rsidRDefault="00BC4A43" w:rsidP="00E046A0">
      <w:pPr>
        <w:spacing w:after="0" w:line="240" w:lineRule="auto"/>
        <w:ind w:left="45" w:right="530"/>
        <w:rPr>
          <w:sz w:val="22"/>
          <w:lang w:val="es-BO"/>
        </w:rPr>
      </w:pPr>
      <w:r w:rsidRPr="005D1845">
        <w:rPr>
          <w:sz w:val="22"/>
          <w:lang w:val="es-BO"/>
        </w:rPr>
        <w:t>Rossini, R. y Vega, M.</w:t>
      </w:r>
      <w:r w:rsidR="000F6E70" w:rsidRPr="005D1845">
        <w:rPr>
          <w:sz w:val="22"/>
          <w:lang w:val="es-BO"/>
        </w:rPr>
        <w:t xml:space="preserve"> </w:t>
      </w:r>
      <w:r w:rsidRPr="005D1845">
        <w:rPr>
          <w:sz w:val="22"/>
          <w:lang w:val="es-BO"/>
        </w:rPr>
        <w:t>(</w:t>
      </w:r>
      <w:r w:rsidR="000F6E70" w:rsidRPr="005D1845">
        <w:rPr>
          <w:sz w:val="22"/>
          <w:lang w:val="es-BO"/>
        </w:rPr>
        <w:t>2007</w:t>
      </w:r>
      <w:r w:rsidRPr="005D1845">
        <w:rPr>
          <w:sz w:val="22"/>
          <w:lang w:val="es-BO"/>
        </w:rPr>
        <w:t>)</w:t>
      </w:r>
      <w:r w:rsidR="000F6E70" w:rsidRPr="005D1845">
        <w:rPr>
          <w:sz w:val="22"/>
          <w:lang w:val="es-BO"/>
        </w:rPr>
        <w:t>. "</w:t>
      </w:r>
      <w:hyperlink r:id="rId114" w:history="1">
        <w:r w:rsidR="000F6E70" w:rsidRPr="005D1845">
          <w:rPr>
            <w:sz w:val="22"/>
            <w:lang w:val="es-BO"/>
          </w:rPr>
          <w:t>El mecanismo de transmisión de la política monetaria en un entorno de dolarización financiera: El caso del Perú entre 1996 y 2006</w:t>
        </w:r>
      </w:hyperlink>
      <w:r w:rsidR="000F6E70" w:rsidRPr="005D1845">
        <w:rPr>
          <w:sz w:val="22"/>
          <w:lang w:val="es-BO"/>
        </w:rPr>
        <w:t>," </w:t>
      </w:r>
      <w:hyperlink r:id="rId115" w:history="1">
        <w:r w:rsidR="000F6E70" w:rsidRPr="005D1845">
          <w:rPr>
            <w:sz w:val="22"/>
            <w:lang w:val="es-BO"/>
          </w:rPr>
          <w:t>Revista Estudios Económicos</w:t>
        </w:r>
      </w:hyperlink>
      <w:r w:rsidR="000F6E70" w:rsidRPr="005D1845">
        <w:rPr>
          <w:sz w:val="22"/>
          <w:lang w:val="es-BO"/>
        </w:rPr>
        <w:t>, Banco</w:t>
      </w:r>
      <w:r w:rsidRPr="005D1845">
        <w:rPr>
          <w:sz w:val="22"/>
          <w:lang w:val="es-BO"/>
        </w:rPr>
        <w:t xml:space="preserve"> Central de Reserva del Perú, Volumen 14, pag.</w:t>
      </w:r>
      <w:r w:rsidR="000F6E70" w:rsidRPr="005D1845">
        <w:rPr>
          <w:sz w:val="22"/>
          <w:lang w:val="es-BO"/>
        </w:rPr>
        <w:t>11-32.</w:t>
      </w:r>
    </w:p>
    <w:p w14:paraId="44891C5F" w14:textId="59BD3591" w:rsidR="00E046A0" w:rsidRPr="005D1845" w:rsidRDefault="00E046A0" w:rsidP="00E046A0">
      <w:pPr>
        <w:spacing w:after="0" w:line="240" w:lineRule="auto"/>
        <w:ind w:left="45" w:right="530"/>
        <w:rPr>
          <w:sz w:val="22"/>
          <w:lang w:val="es-BO"/>
        </w:rPr>
      </w:pPr>
      <w:r w:rsidRPr="005D1845">
        <w:rPr>
          <w:sz w:val="22"/>
          <w:lang w:val="es-BO"/>
        </w:rPr>
        <w:t xml:space="preserve"> </w:t>
      </w:r>
    </w:p>
    <w:p w14:paraId="0D8D2252" w14:textId="34EB5E30" w:rsidR="00376BC6" w:rsidRPr="005D1845" w:rsidRDefault="00591E0E" w:rsidP="00096C84">
      <w:pPr>
        <w:spacing w:after="0" w:line="240" w:lineRule="auto"/>
        <w:ind w:left="45" w:right="530"/>
        <w:rPr>
          <w:sz w:val="22"/>
        </w:rPr>
      </w:pPr>
      <w:r w:rsidRPr="005D1845">
        <w:rPr>
          <w:sz w:val="22"/>
        </w:rPr>
        <w:t>Rossi, S</w:t>
      </w:r>
      <w:r w:rsidR="00105BBD" w:rsidRPr="005D1845">
        <w:rPr>
          <w:sz w:val="22"/>
        </w:rPr>
        <w:t>. (2004) “I</w:t>
      </w:r>
      <w:r w:rsidR="006426FC" w:rsidRPr="005D1845">
        <w:rPr>
          <w:sz w:val="22"/>
        </w:rPr>
        <w:t>nflation targeting and sac</w:t>
      </w:r>
      <w:r w:rsidR="00105BBD" w:rsidRPr="005D1845">
        <w:rPr>
          <w:sz w:val="22"/>
        </w:rPr>
        <w:t>rifice ratios: the case of the European Central B</w:t>
      </w:r>
      <w:r w:rsidR="006426FC" w:rsidRPr="005D1845">
        <w:rPr>
          <w:sz w:val="22"/>
        </w:rPr>
        <w:t xml:space="preserve">ank” en </w:t>
      </w:r>
      <w:r w:rsidR="00105BBD" w:rsidRPr="005D1845">
        <w:rPr>
          <w:i/>
          <w:sz w:val="22"/>
        </w:rPr>
        <w:t>I</w:t>
      </w:r>
      <w:r w:rsidR="00815FFC" w:rsidRPr="005D1845">
        <w:rPr>
          <w:i/>
          <w:sz w:val="22"/>
        </w:rPr>
        <w:t>nternational J</w:t>
      </w:r>
      <w:r w:rsidR="006426FC" w:rsidRPr="005D1845">
        <w:rPr>
          <w:i/>
          <w:sz w:val="22"/>
        </w:rPr>
        <w:t>ou</w:t>
      </w:r>
      <w:r w:rsidR="00815FFC" w:rsidRPr="005D1845">
        <w:rPr>
          <w:i/>
          <w:sz w:val="22"/>
        </w:rPr>
        <w:t>rnal of P</w:t>
      </w:r>
      <w:r w:rsidR="006426FC" w:rsidRPr="005D1845">
        <w:rPr>
          <w:i/>
          <w:sz w:val="22"/>
        </w:rPr>
        <w:t>olitical</w:t>
      </w:r>
      <w:r w:rsidR="006426FC" w:rsidRPr="005D1845">
        <w:rPr>
          <w:sz w:val="22"/>
        </w:rPr>
        <w:t xml:space="preserve"> </w:t>
      </w:r>
      <w:r w:rsidR="00815FFC" w:rsidRPr="005D1845">
        <w:rPr>
          <w:i/>
          <w:sz w:val="22"/>
        </w:rPr>
        <w:t>E</w:t>
      </w:r>
      <w:r w:rsidR="006426FC" w:rsidRPr="005D1845">
        <w:rPr>
          <w:i/>
          <w:sz w:val="22"/>
        </w:rPr>
        <w:t>conomy</w:t>
      </w:r>
      <w:r w:rsidR="006426FC" w:rsidRPr="005D1845">
        <w:rPr>
          <w:sz w:val="22"/>
        </w:rPr>
        <w:t xml:space="preserve">, n° 34. </w:t>
      </w:r>
    </w:p>
    <w:p w14:paraId="7A6A6BB8" w14:textId="77777777" w:rsidR="00376BC6" w:rsidRPr="005D1845" w:rsidRDefault="006426FC" w:rsidP="00096C84">
      <w:pPr>
        <w:spacing w:after="0" w:line="240" w:lineRule="auto"/>
        <w:ind w:left="50" w:right="0" w:firstLine="0"/>
        <w:jc w:val="left"/>
        <w:rPr>
          <w:sz w:val="22"/>
        </w:rPr>
      </w:pPr>
      <w:r w:rsidRPr="005D1845">
        <w:rPr>
          <w:sz w:val="22"/>
        </w:rPr>
        <w:t xml:space="preserve"> </w:t>
      </w:r>
    </w:p>
    <w:p w14:paraId="7D054781" w14:textId="10F8FCA9" w:rsidR="0055644E" w:rsidRPr="005D1845" w:rsidRDefault="00591E0E" w:rsidP="000D24C8">
      <w:pPr>
        <w:spacing w:after="0" w:line="240" w:lineRule="auto"/>
        <w:ind w:left="45" w:right="0"/>
        <w:rPr>
          <w:sz w:val="22"/>
        </w:rPr>
      </w:pPr>
      <w:r w:rsidRPr="005D1845">
        <w:rPr>
          <w:sz w:val="22"/>
        </w:rPr>
        <w:t>Rochon, l. P</w:t>
      </w:r>
      <w:r w:rsidR="006426FC" w:rsidRPr="005D1845">
        <w:rPr>
          <w:sz w:val="22"/>
        </w:rPr>
        <w:t>. (1999) “</w:t>
      </w:r>
      <w:r w:rsidR="00105BBD" w:rsidRPr="005D1845">
        <w:rPr>
          <w:i/>
          <w:sz w:val="22"/>
        </w:rPr>
        <w:t>C</w:t>
      </w:r>
      <w:r w:rsidR="00E17BA6" w:rsidRPr="005D1845">
        <w:rPr>
          <w:i/>
          <w:sz w:val="22"/>
        </w:rPr>
        <w:t>redit, Money and P</w:t>
      </w:r>
      <w:r w:rsidR="0055644E" w:rsidRPr="005D1845">
        <w:rPr>
          <w:i/>
          <w:sz w:val="22"/>
        </w:rPr>
        <w:t>roduction: An A</w:t>
      </w:r>
      <w:r w:rsidR="006426FC" w:rsidRPr="005D1845">
        <w:rPr>
          <w:i/>
          <w:sz w:val="22"/>
        </w:rPr>
        <w:t xml:space="preserve">lternative </w:t>
      </w:r>
      <w:r w:rsidR="00105BBD" w:rsidRPr="005D1845">
        <w:rPr>
          <w:i/>
          <w:sz w:val="22"/>
        </w:rPr>
        <w:t>post Keynesian</w:t>
      </w:r>
      <w:r w:rsidR="000D24C8" w:rsidRPr="005D1845">
        <w:rPr>
          <w:i/>
          <w:sz w:val="22"/>
        </w:rPr>
        <w:t xml:space="preserve"> Approach” </w:t>
      </w:r>
      <w:r w:rsidR="000D24C8" w:rsidRPr="005D1845">
        <w:rPr>
          <w:sz w:val="22"/>
        </w:rPr>
        <w:t xml:space="preserve">(Cheltenham: Edward Elgar). </w:t>
      </w:r>
    </w:p>
    <w:p w14:paraId="6082F21C" w14:textId="0D57AE0B" w:rsidR="00A64D72" w:rsidRPr="005D1845" w:rsidRDefault="00A64D72" w:rsidP="000D24C8">
      <w:pPr>
        <w:spacing w:after="0" w:line="240" w:lineRule="auto"/>
        <w:ind w:left="45" w:right="0"/>
        <w:rPr>
          <w:sz w:val="22"/>
        </w:rPr>
      </w:pPr>
    </w:p>
    <w:p w14:paraId="77BC9C6E" w14:textId="65054A8A" w:rsidR="00A64D72" w:rsidRPr="005D1845" w:rsidRDefault="00A64D72" w:rsidP="00A64D72">
      <w:pPr>
        <w:spacing w:after="0" w:line="240" w:lineRule="auto"/>
        <w:ind w:left="45" w:right="0"/>
        <w:rPr>
          <w:sz w:val="22"/>
        </w:rPr>
      </w:pPr>
      <w:r w:rsidRPr="005D1845">
        <w:rPr>
          <w:sz w:val="22"/>
        </w:rPr>
        <w:t xml:space="preserve">Sargent, T. J. y N. Wallace (1975) “Rational Expectations, The Optimal Monetary Instrument, and the Optimal Money Supply Rule”, </w:t>
      </w:r>
      <w:r w:rsidRPr="005D1845">
        <w:rPr>
          <w:i/>
          <w:sz w:val="22"/>
        </w:rPr>
        <w:t>Journal of Political Economy</w:t>
      </w:r>
      <w:r w:rsidRPr="005D1845">
        <w:rPr>
          <w:sz w:val="22"/>
        </w:rPr>
        <w:t>, nro. 83, pp. 241-25.</w:t>
      </w:r>
    </w:p>
    <w:p w14:paraId="7E93317D" w14:textId="6FEFF004" w:rsidR="00376BC6" w:rsidRPr="005D1845" w:rsidRDefault="00376BC6" w:rsidP="00096C84">
      <w:pPr>
        <w:spacing w:after="0" w:line="240" w:lineRule="auto"/>
        <w:ind w:left="50" w:right="0" w:firstLine="0"/>
        <w:jc w:val="left"/>
        <w:rPr>
          <w:sz w:val="22"/>
        </w:rPr>
      </w:pPr>
    </w:p>
    <w:p w14:paraId="588C4AC6" w14:textId="46BC19E4" w:rsidR="00CC65FD" w:rsidRPr="005D1845" w:rsidRDefault="00591E0E" w:rsidP="00F84EA8">
      <w:pPr>
        <w:spacing w:after="0" w:line="240" w:lineRule="auto"/>
        <w:ind w:left="45" w:right="530"/>
        <w:rPr>
          <w:sz w:val="22"/>
        </w:rPr>
      </w:pPr>
      <w:r w:rsidRPr="005D1845">
        <w:rPr>
          <w:sz w:val="22"/>
        </w:rPr>
        <w:t>Svensson, l.E</w:t>
      </w:r>
      <w:r w:rsidR="006426FC" w:rsidRPr="005D1845">
        <w:rPr>
          <w:sz w:val="22"/>
        </w:rPr>
        <w:t>. (1</w:t>
      </w:r>
      <w:r w:rsidR="00671986" w:rsidRPr="005D1845">
        <w:rPr>
          <w:sz w:val="22"/>
        </w:rPr>
        <w:t>998), “I</w:t>
      </w:r>
      <w:r w:rsidR="00B87AEA" w:rsidRPr="005D1845">
        <w:rPr>
          <w:sz w:val="22"/>
        </w:rPr>
        <w:t>nflation Forecast Targeting: Implementing and Monitoring Inflation T</w:t>
      </w:r>
      <w:r w:rsidR="006426FC" w:rsidRPr="005D1845">
        <w:rPr>
          <w:sz w:val="22"/>
        </w:rPr>
        <w:t xml:space="preserve">argets”, </w:t>
      </w:r>
      <w:r w:rsidR="00671986" w:rsidRPr="005D1845">
        <w:rPr>
          <w:i/>
          <w:sz w:val="22"/>
        </w:rPr>
        <w:t>European</w:t>
      </w:r>
      <w:r w:rsidR="00C07FFE" w:rsidRPr="005D1845">
        <w:rPr>
          <w:i/>
          <w:sz w:val="22"/>
        </w:rPr>
        <w:t xml:space="preserve"> Economic R</w:t>
      </w:r>
      <w:r w:rsidR="006426FC" w:rsidRPr="005D1845">
        <w:rPr>
          <w:i/>
          <w:sz w:val="22"/>
        </w:rPr>
        <w:t>eview</w:t>
      </w:r>
      <w:r w:rsidR="006426FC" w:rsidRPr="005D1845">
        <w:rPr>
          <w:sz w:val="22"/>
        </w:rPr>
        <w:t xml:space="preserve">, </w:t>
      </w:r>
      <w:r w:rsidR="00AC02A6" w:rsidRPr="005D1845">
        <w:rPr>
          <w:sz w:val="22"/>
        </w:rPr>
        <w:t xml:space="preserve">nro. </w:t>
      </w:r>
      <w:r w:rsidR="006426FC" w:rsidRPr="005D1845">
        <w:rPr>
          <w:sz w:val="22"/>
        </w:rPr>
        <w:t>46,</w:t>
      </w:r>
      <w:r w:rsidR="00AC02A6" w:rsidRPr="005D1845">
        <w:rPr>
          <w:sz w:val="22"/>
        </w:rPr>
        <w:t xml:space="preserve"> pp.</w:t>
      </w:r>
      <w:r w:rsidR="006426FC" w:rsidRPr="005D1845">
        <w:rPr>
          <w:sz w:val="22"/>
        </w:rPr>
        <w:t xml:space="preserve"> 771-80. </w:t>
      </w:r>
    </w:p>
    <w:p w14:paraId="7E938E87" w14:textId="77777777" w:rsidR="00F84EA8" w:rsidRPr="005D1845" w:rsidRDefault="00F84EA8" w:rsidP="00F84EA8">
      <w:pPr>
        <w:spacing w:after="0" w:line="240" w:lineRule="auto"/>
        <w:ind w:left="45" w:right="530"/>
        <w:rPr>
          <w:sz w:val="22"/>
        </w:rPr>
      </w:pPr>
    </w:p>
    <w:p w14:paraId="04940733" w14:textId="0369D141" w:rsidR="00376BC6" w:rsidRPr="005D1845" w:rsidRDefault="00591E0E" w:rsidP="00096C84">
      <w:pPr>
        <w:spacing w:after="0" w:line="240" w:lineRule="auto"/>
        <w:ind w:left="45" w:right="530"/>
        <w:rPr>
          <w:sz w:val="22"/>
          <w:lang w:val="es-BO"/>
        </w:rPr>
      </w:pPr>
      <w:r w:rsidRPr="005D1845">
        <w:rPr>
          <w:sz w:val="22"/>
          <w:lang w:val="es-BO"/>
        </w:rPr>
        <w:t>Sánchez, A. y Reyes, O</w:t>
      </w:r>
      <w:r w:rsidR="000D24C8" w:rsidRPr="005D1845">
        <w:rPr>
          <w:sz w:val="22"/>
          <w:lang w:val="es-BO"/>
        </w:rPr>
        <w:t>. (2006).</w:t>
      </w:r>
      <w:r w:rsidR="00105BBD" w:rsidRPr="005D1845">
        <w:rPr>
          <w:sz w:val="22"/>
          <w:lang w:val="es-BO"/>
        </w:rPr>
        <w:t xml:space="preserve"> “R</w:t>
      </w:r>
      <w:r w:rsidR="006426FC" w:rsidRPr="005D1845">
        <w:rPr>
          <w:sz w:val="22"/>
          <w:lang w:val="es-BO"/>
        </w:rPr>
        <w:t xml:space="preserve">egularidades probabilísticas de las series financieras y la familia de modelos </w:t>
      </w:r>
      <w:r w:rsidR="00105BBD" w:rsidRPr="005D1845">
        <w:rPr>
          <w:sz w:val="22"/>
          <w:lang w:val="es-BO"/>
        </w:rPr>
        <w:t>GARCH</w:t>
      </w:r>
      <w:r w:rsidR="006426FC" w:rsidRPr="005D1845">
        <w:rPr>
          <w:sz w:val="22"/>
          <w:lang w:val="es-BO"/>
        </w:rPr>
        <w:t xml:space="preserve">”, </w:t>
      </w:r>
      <w:r w:rsidR="00C07FFE" w:rsidRPr="005D1845">
        <w:rPr>
          <w:i/>
          <w:sz w:val="22"/>
          <w:lang w:val="es-BO"/>
        </w:rPr>
        <w:t>Revista Ciencia Ergo S</w:t>
      </w:r>
      <w:r w:rsidR="006426FC" w:rsidRPr="005D1845">
        <w:rPr>
          <w:i/>
          <w:sz w:val="22"/>
          <w:lang w:val="es-BO"/>
        </w:rPr>
        <w:t>um</w:t>
      </w:r>
      <w:r w:rsidR="00AC02A6" w:rsidRPr="005D1845">
        <w:rPr>
          <w:sz w:val="22"/>
          <w:lang w:val="es-BO"/>
        </w:rPr>
        <w:t>, vol. 13, nro</w:t>
      </w:r>
      <w:r w:rsidR="006426FC" w:rsidRPr="005D1845">
        <w:rPr>
          <w:sz w:val="22"/>
          <w:lang w:val="es-BO"/>
        </w:rPr>
        <w:t xml:space="preserve">. 2, pp. 149-156. </w:t>
      </w:r>
    </w:p>
    <w:p w14:paraId="004DEEEC" w14:textId="77777777" w:rsidR="00F84EA8" w:rsidRPr="005D1845" w:rsidRDefault="00F84EA8" w:rsidP="00096C84">
      <w:pPr>
        <w:spacing w:after="0" w:line="240" w:lineRule="auto"/>
        <w:ind w:left="45" w:right="530"/>
        <w:rPr>
          <w:sz w:val="22"/>
          <w:lang w:val="es-BO"/>
        </w:rPr>
      </w:pPr>
    </w:p>
    <w:p w14:paraId="3DE4D418" w14:textId="63E67343" w:rsidR="00376BC6" w:rsidRPr="005D1845" w:rsidRDefault="00591E0E" w:rsidP="00096C84">
      <w:pPr>
        <w:spacing w:after="0" w:line="240" w:lineRule="auto"/>
        <w:ind w:left="45" w:right="530"/>
        <w:rPr>
          <w:sz w:val="22"/>
        </w:rPr>
      </w:pPr>
      <w:r w:rsidRPr="005D1845">
        <w:rPr>
          <w:sz w:val="22"/>
          <w:lang w:val="es-BO"/>
        </w:rPr>
        <w:t>Sengupta, J.K. y Sfeir, R.E</w:t>
      </w:r>
      <w:r w:rsidR="006426FC" w:rsidRPr="005D1845">
        <w:rPr>
          <w:sz w:val="22"/>
          <w:lang w:val="es-BO"/>
        </w:rPr>
        <w:t xml:space="preserve">. </w:t>
      </w:r>
      <w:r w:rsidR="000D24C8" w:rsidRPr="005D1845">
        <w:rPr>
          <w:sz w:val="22"/>
          <w:lang w:val="es-BO"/>
        </w:rPr>
        <w:t>(1996).</w:t>
      </w:r>
      <w:r w:rsidR="00105BBD" w:rsidRPr="005D1845">
        <w:rPr>
          <w:sz w:val="22"/>
          <w:lang w:val="es-BO"/>
        </w:rPr>
        <w:t xml:space="preserve"> </w:t>
      </w:r>
      <w:r w:rsidR="00105BBD" w:rsidRPr="005D1845">
        <w:rPr>
          <w:sz w:val="22"/>
        </w:rPr>
        <w:t>“M</w:t>
      </w:r>
      <w:r w:rsidR="006426FC" w:rsidRPr="005D1845">
        <w:rPr>
          <w:sz w:val="22"/>
        </w:rPr>
        <w:t>odelling exchange rate volatil</w:t>
      </w:r>
      <w:r w:rsidR="00105BBD" w:rsidRPr="005D1845">
        <w:rPr>
          <w:sz w:val="22"/>
        </w:rPr>
        <w:t>ity”, department of economics, University of California en Santa B</w:t>
      </w:r>
      <w:r w:rsidR="006426FC" w:rsidRPr="005D1845">
        <w:rPr>
          <w:sz w:val="22"/>
        </w:rPr>
        <w:t>ar</w:t>
      </w:r>
      <w:r w:rsidR="00EF3250" w:rsidRPr="005D1845">
        <w:rPr>
          <w:sz w:val="22"/>
        </w:rPr>
        <w:t>bara y School of Business, Chapman U</w:t>
      </w:r>
      <w:r w:rsidR="006426FC" w:rsidRPr="005D1845">
        <w:rPr>
          <w:sz w:val="22"/>
        </w:rPr>
        <w:t xml:space="preserve">niversity, working paper. </w:t>
      </w:r>
    </w:p>
    <w:p w14:paraId="31B8130E" w14:textId="77777777" w:rsidR="00CC65FD" w:rsidRPr="005D1845" w:rsidRDefault="00CC65FD" w:rsidP="00096C84">
      <w:pPr>
        <w:spacing w:after="0" w:line="240" w:lineRule="auto"/>
        <w:ind w:left="45" w:right="530"/>
        <w:rPr>
          <w:sz w:val="22"/>
        </w:rPr>
      </w:pPr>
    </w:p>
    <w:p w14:paraId="0EA968C6" w14:textId="638E7FE4" w:rsidR="00376BC6" w:rsidRPr="005D1845" w:rsidRDefault="00591E0E" w:rsidP="00096C84">
      <w:pPr>
        <w:spacing w:after="0" w:line="240" w:lineRule="auto"/>
        <w:ind w:left="45" w:right="530"/>
        <w:rPr>
          <w:sz w:val="22"/>
        </w:rPr>
      </w:pPr>
      <w:r w:rsidRPr="005D1845">
        <w:rPr>
          <w:sz w:val="22"/>
        </w:rPr>
        <w:t>Schwert, W</w:t>
      </w:r>
      <w:r w:rsidR="00105BBD" w:rsidRPr="005D1845">
        <w:rPr>
          <w:sz w:val="22"/>
        </w:rPr>
        <w:t>. (1989), “S</w:t>
      </w:r>
      <w:r w:rsidR="00E84518" w:rsidRPr="005D1845">
        <w:rPr>
          <w:sz w:val="22"/>
        </w:rPr>
        <w:t>tock Volatility and C</w:t>
      </w:r>
      <w:r w:rsidR="006426FC" w:rsidRPr="005D1845">
        <w:rPr>
          <w:sz w:val="22"/>
        </w:rPr>
        <w:t xml:space="preserve">rash of ‘87”, </w:t>
      </w:r>
      <w:r w:rsidR="00EF3250" w:rsidRPr="005D1845">
        <w:rPr>
          <w:i/>
          <w:sz w:val="22"/>
        </w:rPr>
        <w:t>Review of Financial S</w:t>
      </w:r>
      <w:r w:rsidR="006426FC" w:rsidRPr="005D1845">
        <w:rPr>
          <w:i/>
          <w:sz w:val="22"/>
        </w:rPr>
        <w:t xml:space="preserve">tudies, </w:t>
      </w:r>
      <w:r w:rsidR="00AC02A6" w:rsidRPr="005D1845">
        <w:rPr>
          <w:i/>
          <w:sz w:val="22"/>
        </w:rPr>
        <w:t xml:space="preserve">nro. </w:t>
      </w:r>
      <w:r w:rsidR="006426FC" w:rsidRPr="005D1845">
        <w:rPr>
          <w:sz w:val="22"/>
        </w:rPr>
        <w:t xml:space="preserve">3, </w:t>
      </w:r>
      <w:r w:rsidR="00AC02A6" w:rsidRPr="005D1845">
        <w:rPr>
          <w:sz w:val="22"/>
        </w:rPr>
        <w:t xml:space="preserve">pp. </w:t>
      </w:r>
      <w:r w:rsidR="006426FC" w:rsidRPr="005D1845">
        <w:rPr>
          <w:sz w:val="22"/>
        </w:rPr>
        <w:t xml:space="preserve">77-102.  </w:t>
      </w:r>
    </w:p>
    <w:p w14:paraId="6496901A" w14:textId="77777777" w:rsidR="00CC65FD" w:rsidRPr="005D1845" w:rsidRDefault="00CC65FD" w:rsidP="00096C84">
      <w:pPr>
        <w:spacing w:after="0" w:line="240" w:lineRule="auto"/>
        <w:ind w:left="45" w:right="530"/>
        <w:rPr>
          <w:sz w:val="22"/>
        </w:rPr>
      </w:pPr>
    </w:p>
    <w:p w14:paraId="0730E4AC" w14:textId="412591E8" w:rsidR="00CC65FD" w:rsidRPr="005D1845" w:rsidRDefault="00591E0E" w:rsidP="00096C84">
      <w:pPr>
        <w:spacing w:after="0" w:line="240" w:lineRule="auto"/>
        <w:ind w:left="45" w:right="530"/>
        <w:rPr>
          <w:sz w:val="22"/>
        </w:rPr>
      </w:pPr>
      <w:r w:rsidRPr="005D1845">
        <w:rPr>
          <w:sz w:val="22"/>
        </w:rPr>
        <w:t>Sandoval, J</w:t>
      </w:r>
      <w:r w:rsidR="000D24C8" w:rsidRPr="005D1845">
        <w:rPr>
          <w:sz w:val="22"/>
        </w:rPr>
        <w:t>. (2006).</w:t>
      </w:r>
      <w:r w:rsidR="00105BBD" w:rsidRPr="005D1845">
        <w:rPr>
          <w:sz w:val="22"/>
        </w:rPr>
        <w:t xml:space="preserve"> “D</w:t>
      </w:r>
      <w:r w:rsidR="00E84518" w:rsidRPr="005D1845">
        <w:rPr>
          <w:sz w:val="22"/>
        </w:rPr>
        <w:t>o A</w:t>
      </w:r>
      <w:r w:rsidR="006426FC" w:rsidRPr="005D1845">
        <w:rPr>
          <w:sz w:val="22"/>
        </w:rPr>
        <w:t xml:space="preserve">symmetric </w:t>
      </w:r>
      <w:r w:rsidR="00105BBD" w:rsidRPr="005D1845">
        <w:rPr>
          <w:sz w:val="22"/>
        </w:rPr>
        <w:t>GARCH</w:t>
      </w:r>
      <w:r w:rsidR="00E84518" w:rsidRPr="005D1845">
        <w:rPr>
          <w:sz w:val="22"/>
        </w:rPr>
        <w:t xml:space="preserve"> M</w:t>
      </w:r>
      <w:r w:rsidR="006426FC" w:rsidRPr="005D1845">
        <w:rPr>
          <w:sz w:val="22"/>
        </w:rPr>
        <w:t xml:space="preserve">odels fit </w:t>
      </w:r>
      <w:r w:rsidR="00E84518" w:rsidRPr="005D1845">
        <w:rPr>
          <w:sz w:val="22"/>
        </w:rPr>
        <w:t>Better Exchange Rate Volatilities on E</w:t>
      </w:r>
      <w:r w:rsidR="006426FC" w:rsidRPr="005D1845">
        <w:rPr>
          <w:sz w:val="22"/>
        </w:rPr>
        <w:t>mer</w:t>
      </w:r>
      <w:r w:rsidR="00EF3250" w:rsidRPr="005D1845">
        <w:rPr>
          <w:sz w:val="22"/>
        </w:rPr>
        <w:t xml:space="preserve">ging </w:t>
      </w:r>
      <w:r w:rsidR="00E84518" w:rsidRPr="005D1845">
        <w:rPr>
          <w:sz w:val="22"/>
        </w:rPr>
        <w:t>M</w:t>
      </w:r>
      <w:r w:rsidR="00EF3250" w:rsidRPr="005D1845">
        <w:rPr>
          <w:sz w:val="22"/>
        </w:rPr>
        <w:t>arkets?”, O</w:t>
      </w:r>
      <w:r w:rsidR="00AC02A6" w:rsidRPr="005D1845">
        <w:rPr>
          <w:sz w:val="22"/>
        </w:rPr>
        <w:t>deon, nro</w:t>
      </w:r>
      <w:r w:rsidR="006426FC" w:rsidRPr="005D1845">
        <w:rPr>
          <w:sz w:val="22"/>
        </w:rPr>
        <w:t>. 3, pp. 97-118.</w:t>
      </w:r>
    </w:p>
    <w:p w14:paraId="595B3C22" w14:textId="1399968B" w:rsidR="004074D3" w:rsidRPr="005D1845" w:rsidRDefault="004074D3" w:rsidP="00096C84">
      <w:pPr>
        <w:spacing w:after="0" w:line="240" w:lineRule="auto"/>
        <w:ind w:left="45" w:right="530"/>
        <w:rPr>
          <w:sz w:val="22"/>
        </w:rPr>
      </w:pPr>
    </w:p>
    <w:p w14:paraId="063103E1" w14:textId="62D5C1D9" w:rsidR="004074D3" w:rsidRPr="005D1845" w:rsidRDefault="004074D3" w:rsidP="00096C84">
      <w:pPr>
        <w:spacing w:after="0" w:line="240" w:lineRule="auto"/>
        <w:ind w:left="45" w:right="530"/>
        <w:rPr>
          <w:sz w:val="22"/>
        </w:rPr>
      </w:pPr>
      <w:r w:rsidRPr="005D1845">
        <w:rPr>
          <w:sz w:val="22"/>
        </w:rPr>
        <w:t>Sterne, G. (2002). “Inflation Targets in Global Context”, en Loayza, N. y Soto, R., edits., </w:t>
      </w:r>
      <w:r w:rsidRPr="005D1845">
        <w:rPr>
          <w:bCs/>
          <w:sz w:val="22"/>
        </w:rPr>
        <w:t>Inflation Targeting: Design, Performance, Challenges</w:t>
      </w:r>
      <w:r w:rsidRPr="005D1845">
        <w:rPr>
          <w:sz w:val="22"/>
        </w:rPr>
        <w:t>, pp. 23-77, Santiago, Banco Central de Chile.  </w:t>
      </w:r>
    </w:p>
    <w:p w14:paraId="1425356C" w14:textId="53DAAD22" w:rsidR="00376BC6" w:rsidRPr="005D1845" w:rsidRDefault="006426FC" w:rsidP="00096C84">
      <w:pPr>
        <w:spacing w:after="0" w:line="240" w:lineRule="auto"/>
        <w:ind w:left="45" w:right="530"/>
        <w:rPr>
          <w:sz w:val="22"/>
        </w:rPr>
      </w:pPr>
      <w:r w:rsidRPr="005D1845">
        <w:rPr>
          <w:sz w:val="22"/>
        </w:rPr>
        <w:t xml:space="preserve"> </w:t>
      </w:r>
    </w:p>
    <w:p w14:paraId="6774026F" w14:textId="6D748E4F" w:rsidR="00A7347F" w:rsidRPr="005D1845" w:rsidRDefault="00A7347F" w:rsidP="00096C84">
      <w:pPr>
        <w:spacing w:after="0" w:line="240" w:lineRule="auto"/>
        <w:ind w:left="45" w:right="530"/>
        <w:rPr>
          <w:sz w:val="22"/>
        </w:rPr>
      </w:pPr>
      <w:r w:rsidRPr="005D1845">
        <w:rPr>
          <w:sz w:val="22"/>
        </w:rPr>
        <w:t>S</w:t>
      </w:r>
      <w:r w:rsidR="000D24C8" w:rsidRPr="005D1845">
        <w:rPr>
          <w:sz w:val="22"/>
        </w:rPr>
        <w:t>vensson, L. (2000).</w:t>
      </w:r>
      <w:r w:rsidR="00BF399E" w:rsidRPr="005D1845">
        <w:rPr>
          <w:sz w:val="22"/>
        </w:rPr>
        <w:t xml:space="preserve"> “Open-Economy </w:t>
      </w:r>
      <w:r w:rsidRPr="005D1845">
        <w:rPr>
          <w:sz w:val="22"/>
        </w:rPr>
        <w:t>Infla</w:t>
      </w:r>
      <w:r w:rsidR="0097452B" w:rsidRPr="005D1845">
        <w:rPr>
          <w:sz w:val="22"/>
        </w:rPr>
        <w:t xml:space="preserve">tion </w:t>
      </w:r>
      <w:r w:rsidR="00B87AEA" w:rsidRPr="005D1845">
        <w:rPr>
          <w:sz w:val="22"/>
        </w:rPr>
        <w:t xml:space="preserve">Targeting”, </w:t>
      </w:r>
      <w:r w:rsidR="00E84518" w:rsidRPr="005D1845">
        <w:rPr>
          <w:i/>
          <w:sz w:val="22"/>
        </w:rPr>
        <w:t xml:space="preserve">Journal of </w:t>
      </w:r>
      <w:r w:rsidRPr="005D1845">
        <w:rPr>
          <w:i/>
          <w:sz w:val="22"/>
        </w:rPr>
        <w:t>International Economics</w:t>
      </w:r>
      <w:r w:rsidR="00AC02A6" w:rsidRPr="005D1845">
        <w:rPr>
          <w:sz w:val="22"/>
        </w:rPr>
        <w:t>, Vol. 50, nro</w:t>
      </w:r>
      <w:r w:rsidRPr="005D1845">
        <w:rPr>
          <w:sz w:val="22"/>
        </w:rPr>
        <w:t>. 1, pp. 155-183.</w:t>
      </w:r>
    </w:p>
    <w:p w14:paraId="1D310C9A" w14:textId="77777777" w:rsidR="00CC65FD" w:rsidRPr="005D1845" w:rsidRDefault="00CC65FD" w:rsidP="00096C84">
      <w:pPr>
        <w:spacing w:after="0" w:line="240" w:lineRule="auto"/>
        <w:ind w:left="45" w:right="530"/>
        <w:rPr>
          <w:sz w:val="22"/>
        </w:rPr>
      </w:pPr>
    </w:p>
    <w:p w14:paraId="6E29514E" w14:textId="16645EAE" w:rsidR="00AE3E77" w:rsidRPr="005D1845" w:rsidRDefault="00AE3E77" w:rsidP="00AE3E77">
      <w:pPr>
        <w:spacing w:after="0" w:line="240" w:lineRule="auto"/>
        <w:ind w:left="45" w:right="530"/>
        <w:rPr>
          <w:sz w:val="22"/>
        </w:rPr>
      </w:pPr>
      <w:r w:rsidRPr="005D1845">
        <w:rPr>
          <w:sz w:val="22"/>
        </w:rPr>
        <w:t xml:space="preserve">Tamborini, R. (2009). “Monetary Policy with Investment Saving in Balances” en </w:t>
      </w:r>
      <w:r w:rsidRPr="005D1845">
        <w:rPr>
          <w:i/>
          <w:sz w:val="22"/>
        </w:rPr>
        <w:t>Metroeconómica</w:t>
      </w:r>
      <w:r w:rsidR="00AC02A6" w:rsidRPr="005D1845">
        <w:rPr>
          <w:sz w:val="22"/>
        </w:rPr>
        <w:t>, Vol 61, nro</w:t>
      </w:r>
      <w:r w:rsidRPr="005D1845">
        <w:rPr>
          <w:sz w:val="22"/>
        </w:rPr>
        <w:t>. 3 pp. 473-509.</w:t>
      </w:r>
    </w:p>
    <w:p w14:paraId="354D0C97" w14:textId="1E260B4D" w:rsidR="00AE3E77" w:rsidRPr="005D1845" w:rsidRDefault="00AE3E77" w:rsidP="00AE3E77">
      <w:pPr>
        <w:spacing w:after="0" w:line="240" w:lineRule="auto"/>
        <w:ind w:left="0" w:right="530" w:firstLine="0"/>
        <w:rPr>
          <w:sz w:val="22"/>
        </w:rPr>
      </w:pPr>
    </w:p>
    <w:p w14:paraId="35C68BE4" w14:textId="429309A4" w:rsidR="00F84EA8" w:rsidRPr="005D1845" w:rsidRDefault="00F84EA8" w:rsidP="00F84EA8">
      <w:pPr>
        <w:spacing w:after="0" w:line="240" w:lineRule="auto"/>
        <w:ind w:left="45" w:right="530"/>
        <w:rPr>
          <w:sz w:val="22"/>
        </w:rPr>
      </w:pPr>
      <w:r w:rsidRPr="005D1845">
        <w:rPr>
          <w:sz w:val="22"/>
        </w:rPr>
        <w:t>Tapia, M. (2001)</w:t>
      </w:r>
      <w:r w:rsidR="000D24C8" w:rsidRPr="005D1845">
        <w:rPr>
          <w:sz w:val="22"/>
        </w:rPr>
        <w:t>.</w:t>
      </w:r>
      <w:r w:rsidR="0008756A" w:rsidRPr="005D1845">
        <w:rPr>
          <w:sz w:val="22"/>
        </w:rPr>
        <w:t xml:space="preserve"> “Conclusions from I</w:t>
      </w:r>
      <w:r w:rsidRPr="005D1845">
        <w:rPr>
          <w:sz w:val="22"/>
        </w:rPr>
        <w:t xml:space="preserve">nflation </w:t>
      </w:r>
      <w:r w:rsidR="0008756A" w:rsidRPr="005D1845">
        <w:rPr>
          <w:sz w:val="22"/>
        </w:rPr>
        <w:t>Targeting C</w:t>
      </w:r>
      <w:r w:rsidRPr="005D1845">
        <w:rPr>
          <w:sz w:val="22"/>
        </w:rPr>
        <w:t xml:space="preserve">onference” en </w:t>
      </w:r>
      <w:r w:rsidR="00AC02A6" w:rsidRPr="005D1845">
        <w:rPr>
          <w:i/>
          <w:sz w:val="22"/>
        </w:rPr>
        <w:t>Central B</w:t>
      </w:r>
      <w:r w:rsidRPr="005D1845">
        <w:rPr>
          <w:i/>
          <w:sz w:val="22"/>
        </w:rPr>
        <w:t>anking</w:t>
      </w:r>
      <w:r w:rsidR="00AC02A6" w:rsidRPr="005D1845">
        <w:rPr>
          <w:sz w:val="22"/>
        </w:rPr>
        <w:t>, nro.</w:t>
      </w:r>
      <w:r w:rsidRPr="005D1845">
        <w:rPr>
          <w:sz w:val="22"/>
        </w:rPr>
        <w:t xml:space="preserve"> 11. </w:t>
      </w:r>
    </w:p>
    <w:p w14:paraId="4ABDB155" w14:textId="77777777" w:rsidR="00F84EA8" w:rsidRPr="005D1845" w:rsidRDefault="00F84EA8" w:rsidP="00096C84">
      <w:pPr>
        <w:spacing w:after="0" w:line="240" w:lineRule="auto"/>
        <w:ind w:left="45" w:right="530"/>
        <w:rPr>
          <w:sz w:val="22"/>
        </w:rPr>
      </w:pPr>
    </w:p>
    <w:p w14:paraId="727F1A44" w14:textId="66B599D4" w:rsidR="00376BC6" w:rsidRPr="005D1845" w:rsidRDefault="00591E0E" w:rsidP="000D24C8">
      <w:pPr>
        <w:spacing w:after="0" w:line="240" w:lineRule="auto"/>
        <w:ind w:left="45" w:right="530"/>
        <w:rPr>
          <w:sz w:val="22"/>
        </w:rPr>
      </w:pPr>
      <w:r w:rsidRPr="005D1845">
        <w:rPr>
          <w:sz w:val="22"/>
        </w:rPr>
        <w:t>Taylor, S</w:t>
      </w:r>
      <w:r w:rsidR="000D24C8" w:rsidRPr="005D1845">
        <w:rPr>
          <w:sz w:val="22"/>
        </w:rPr>
        <w:t>. (1986).</w:t>
      </w:r>
      <w:r w:rsidR="006426FC" w:rsidRPr="005D1845">
        <w:rPr>
          <w:sz w:val="22"/>
        </w:rPr>
        <w:t xml:space="preserve"> </w:t>
      </w:r>
      <w:r w:rsidR="00105BBD" w:rsidRPr="005D1845">
        <w:rPr>
          <w:sz w:val="22"/>
        </w:rPr>
        <w:t>“</w:t>
      </w:r>
      <w:r w:rsidR="00105BBD" w:rsidRPr="005D1845">
        <w:rPr>
          <w:i/>
          <w:sz w:val="22"/>
        </w:rPr>
        <w:t>M</w:t>
      </w:r>
      <w:r w:rsidR="00E47382" w:rsidRPr="005D1845">
        <w:rPr>
          <w:i/>
          <w:sz w:val="22"/>
        </w:rPr>
        <w:t>odelling Financial Time S</w:t>
      </w:r>
      <w:r w:rsidR="006426FC" w:rsidRPr="005D1845">
        <w:rPr>
          <w:i/>
          <w:sz w:val="22"/>
        </w:rPr>
        <w:t>eries</w:t>
      </w:r>
      <w:r w:rsidR="00105BBD" w:rsidRPr="005D1845">
        <w:rPr>
          <w:i/>
          <w:sz w:val="22"/>
        </w:rPr>
        <w:t>”</w:t>
      </w:r>
      <w:r w:rsidR="00911B69" w:rsidRPr="005D1845">
        <w:rPr>
          <w:sz w:val="22"/>
        </w:rPr>
        <w:t>, New York: John Wiley y S</w:t>
      </w:r>
      <w:r w:rsidR="006426FC" w:rsidRPr="005D1845">
        <w:rPr>
          <w:sz w:val="22"/>
        </w:rPr>
        <w:t xml:space="preserve">ons. </w:t>
      </w:r>
    </w:p>
    <w:p w14:paraId="73D16A61" w14:textId="77777777" w:rsidR="0008756A" w:rsidRPr="005D1845" w:rsidRDefault="0008756A" w:rsidP="00096C84">
      <w:pPr>
        <w:spacing w:after="0" w:line="240" w:lineRule="auto"/>
        <w:ind w:left="45" w:right="530"/>
        <w:rPr>
          <w:sz w:val="22"/>
        </w:rPr>
      </w:pPr>
    </w:p>
    <w:p w14:paraId="111F9F16" w14:textId="1DCE6F49" w:rsidR="00DD2B4E" w:rsidRPr="005D1845" w:rsidRDefault="00C40626" w:rsidP="00096C84">
      <w:pPr>
        <w:spacing w:after="0" w:line="240" w:lineRule="auto"/>
        <w:ind w:left="45" w:right="530"/>
        <w:rPr>
          <w:sz w:val="22"/>
        </w:rPr>
      </w:pPr>
      <w:r w:rsidRPr="005D1845">
        <w:rPr>
          <w:sz w:val="22"/>
        </w:rPr>
        <w:t>Taylor, John (1993).</w:t>
      </w:r>
      <w:r w:rsidR="00DD2B4E" w:rsidRPr="005D1845">
        <w:rPr>
          <w:sz w:val="22"/>
        </w:rPr>
        <w:t xml:space="preserve"> “Discretion versus policy rules in practice”, Carnegie Rochester Conference</w:t>
      </w:r>
      <w:r w:rsidR="000D24C8" w:rsidRPr="005D1845">
        <w:rPr>
          <w:sz w:val="22"/>
        </w:rPr>
        <w:t xml:space="preserve"> Series on Public Policy</w:t>
      </w:r>
      <w:r w:rsidR="00DD2B4E" w:rsidRPr="005D1845">
        <w:rPr>
          <w:sz w:val="22"/>
        </w:rPr>
        <w:t>, pp. 195-214.</w:t>
      </w:r>
    </w:p>
    <w:p w14:paraId="4C208A93" w14:textId="77777777" w:rsidR="00CC65FD" w:rsidRPr="005D1845" w:rsidRDefault="00CC65FD" w:rsidP="00096C84">
      <w:pPr>
        <w:spacing w:after="0" w:line="240" w:lineRule="auto"/>
        <w:ind w:left="45" w:right="530"/>
        <w:rPr>
          <w:sz w:val="22"/>
        </w:rPr>
      </w:pPr>
    </w:p>
    <w:p w14:paraId="3FBC9AC4" w14:textId="2F12613F" w:rsidR="0097452B" w:rsidRPr="005D1845" w:rsidRDefault="00C40626" w:rsidP="00096C84">
      <w:pPr>
        <w:spacing w:after="0" w:line="240" w:lineRule="auto"/>
        <w:ind w:left="45" w:right="530"/>
        <w:rPr>
          <w:sz w:val="22"/>
        </w:rPr>
      </w:pPr>
      <w:r w:rsidRPr="005D1845">
        <w:rPr>
          <w:sz w:val="22"/>
        </w:rPr>
        <w:t>Taylor, J. B. (1999).</w:t>
      </w:r>
      <w:r w:rsidR="0097452B" w:rsidRPr="005D1845">
        <w:rPr>
          <w:sz w:val="22"/>
        </w:rPr>
        <w:t xml:space="preserve"> “Monetary Policy Rules”, Chicago and London, The University of Chicago Press.</w:t>
      </w:r>
    </w:p>
    <w:p w14:paraId="3174CC9B" w14:textId="27D7A02C" w:rsidR="00E046A0" w:rsidRPr="005D1845" w:rsidRDefault="00E046A0" w:rsidP="00096C84">
      <w:pPr>
        <w:spacing w:after="0" w:line="240" w:lineRule="auto"/>
        <w:ind w:left="45" w:right="530"/>
        <w:rPr>
          <w:sz w:val="22"/>
        </w:rPr>
      </w:pPr>
    </w:p>
    <w:p w14:paraId="7061E35D" w14:textId="216D6A60" w:rsidR="00E046A0" w:rsidRPr="005D1845" w:rsidRDefault="00E046A0" w:rsidP="00E046A0">
      <w:pPr>
        <w:spacing w:after="0" w:line="240" w:lineRule="auto"/>
        <w:ind w:left="45" w:right="530"/>
        <w:rPr>
          <w:sz w:val="22"/>
          <w:lang w:val="es-BO"/>
        </w:rPr>
      </w:pPr>
      <w:r w:rsidRPr="005D1845">
        <w:rPr>
          <w:sz w:val="22"/>
          <w:lang w:val="es-BO"/>
        </w:rPr>
        <w:t>Toporowski, J. (2005). “Limitaciones a la Estabilización Financiera por los Bancos Centrales”,  en  G.  Mántey  y  N. Levy [coords.], Inflación, Crédito y Salarios: nuevos enfoques de política monetaria para mercados imperfectos, México, FES Acatlán-UNAM y Cámara de Diputados, pp. 225-236.</w:t>
      </w:r>
    </w:p>
    <w:p w14:paraId="7D96B259" w14:textId="1D0861DC" w:rsidR="00820975" w:rsidRPr="005D1845" w:rsidRDefault="00820975" w:rsidP="00E046A0">
      <w:pPr>
        <w:spacing w:after="0" w:line="240" w:lineRule="auto"/>
        <w:ind w:left="45" w:right="530"/>
        <w:rPr>
          <w:sz w:val="22"/>
          <w:lang w:val="es-BO"/>
        </w:rPr>
      </w:pPr>
    </w:p>
    <w:p w14:paraId="659EEBC4" w14:textId="584CDAB8" w:rsidR="00820975" w:rsidRPr="005D1845" w:rsidRDefault="00820975" w:rsidP="00E046A0">
      <w:pPr>
        <w:spacing w:after="0" w:line="240" w:lineRule="auto"/>
        <w:ind w:left="45" w:right="530"/>
        <w:rPr>
          <w:sz w:val="22"/>
        </w:rPr>
      </w:pPr>
      <w:r w:rsidRPr="005D1845">
        <w:rPr>
          <w:sz w:val="22"/>
        </w:rPr>
        <w:t>Tovar, C.E. (2006</w:t>
      </w:r>
      <w:r w:rsidR="00F41551" w:rsidRPr="005D1845">
        <w:rPr>
          <w:sz w:val="22"/>
        </w:rPr>
        <w:t>). “The Mechanics of Devaluations and the Output R</w:t>
      </w:r>
      <w:r w:rsidRPr="005D1845">
        <w:rPr>
          <w:sz w:val="22"/>
        </w:rPr>
        <w:t xml:space="preserve">esponse in a </w:t>
      </w:r>
      <w:r w:rsidR="00F41551" w:rsidRPr="005D1845">
        <w:rPr>
          <w:sz w:val="22"/>
        </w:rPr>
        <w:t xml:space="preserve">DSGE Model: How Relevant is the Balance Sheet Effect?”, </w:t>
      </w:r>
      <w:r w:rsidRPr="005D1845">
        <w:rPr>
          <w:sz w:val="22"/>
        </w:rPr>
        <w:t>Working Papers, N° 192, Basilea, Banco de Pagos Internacionales.</w:t>
      </w:r>
    </w:p>
    <w:p w14:paraId="291A3D18" w14:textId="1F692AC0" w:rsidR="00CC65FD" w:rsidRPr="005D1845" w:rsidRDefault="00E046A0" w:rsidP="00E046A0">
      <w:pPr>
        <w:spacing w:after="0" w:line="240" w:lineRule="auto"/>
        <w:ind w:left="45" w:right="530"/>
        <w:rPr>
          <w:sz w:val="22"/>
        </w:rPr>
      </w:pPr>
      <w:r w:rsidRPr="005D1845">
        <w:rPr>
          <w:sz w:val="22"/>
        </w:rPr>
        <w:t xml:space="preserve"> </w:t>
      </w:r>
    </w:p>
    <w:p w14:paraId="0526D68D" w14:textId="032B5DC6" w:rsidR="00376BC6" w:rsidRPr="005D1845" w:rsidRDefault="00591E0E" w:rsidP="00096C84">
      <w:pPr>
        <w:spacing w:after="0" w:line="240" w:lineRule="auto"/>
        <w:ind w:left="45" w:right="530"/>
        <w:rPr>
          <w:sz w:val="22"/>
        </w:rPr>
      </w:pPr>
      <w:r w:rsidRPr="005D1845">
        <w:rPr>
          <w:sz w:val="22"/>
        </w:rPr>
        <w:t>Tse, Y.K</w:t>
      </w:r>
      <w:r w:rsidR="006C27A0" w:rsidRPr="005D1845">
        <w:rPr>
          <w:sz w:val="22"/>
        </w:rPr>
        <w:t>. (1998), “T</w:t>
      </w:r>
      <w:r w:rsidR="00B87AEA" w:rsidRPr="005D1845">
        <w:rPr>
          <w:sz w:val="22"/>
        </w:rPr>
        <w:t>he Conditional H</w:t>
      </w:r>
      <w:r w:rsidR="006426FC" w:rsidRPr="005D1845">
        <w:rPr>
          <w:sz w:val="22"/>
        </w:rPr>
        <w:t xml:space="preserve">eteroscedasticity of </w:t>
      </w:r>
      <w:r w:rsidR="00B87AEA" w:rsidRPr="005D1845">
        <w:rPr>
          <w:sz w:val="22"/>
        </w:rPr>
        <w:t>the Yen-Dollar Exchange R</w:t>
      </w:r>
      <w:r w:rsidR="00911B69" w:rsidRPr="005D1845">
        <w:rPr>
          <w:sz w:val="22"/>
        </w:rPr>
        <w:t xml:space="preserve">ate”, </w:t>
      </w:r>
      <w:r w:rsidR="00911B69" w:rsidRPr="005D1845">
        <w:rPr>
          <w:i/>
          <w:sz w:val="22"/>
        </w:rPr>
        <w:t>Journal of Applied E</w:t>
      </w:r>
      <w:r w:rsidR="006426FC" w:rsidRPr="005D1845">
        <w:rPr>
          <w:i/>
          <w:sz w:val="22"/>
        </w:rPr>
        <w:t>conometrics</w:t>
      </w:r>
      <w:r w:rsidR="0008756A" w:rsidRPr="005D1845">
        <w:rPr>
          <w:sz w:val="22"/>
        </w:rPr>
        <w:t>, vol. 13, nro</w:t>
      </w:r>
      <w:r w:rsidR="006426FC" w:rsidRPr="005D1845">
        <w:rPr>
          <w:sz w:val="22"/>
        </w:rPr>
        <w:t xml:space="preserve">. 1, pp. 49-55. </w:t>
      </w:r>
    </w:p>
    <w:p w14:paraId="31B91C6B" w14:textId="6B038402" w:rsidR="00DE469B" w:rsidRPr="005D1845" w:rsidRDefault="00DE469B" w:rsidP="00096C84">
      <w:pPr>
        <w:spacing w:after="0" w:line="240" w:lineRule="auto"/>
        <w:ind w:left="45" w:right="530"/>
        <w:rPr>
          <w:sz w:val="22"/>
        </w:rPr>
      </w:pPr>
    </w:p>
    <w:p w14:paraId="00EC29DB" w14:textId="4722492A" w:rsidR="00DE469B" w:rsidRPr="005D1845" w:rsidRDefault="00DE469B" w:rsidP="00096C84">
      <w:pPr>
        <w:spacing w:after="0" w:line="240" w:lineRule="auto"/>
        <w:ind w:left="45" w:right="530"/>
        <w:rPr>
          <w:sz w:val="22"/>
          <w:shd w:val="clear" w:color="auto" w:fill="FFFFFF"/>
          <w:lang w:val="es-BO"/>
        </w:rPr>
      </w:pPr>
      <w:r w:rsidRPr="005D1845">
        <w:rPr>
          <w:sz w:val="22"/>
          <w:shd w:val="clear" w:color="auto" w:fill="FFFFFF"/>
          <w:lang w:val="es-BO"/>
        </w:rPr>
        <w:t xml:space="preserve">Urrutia, M. </w:t>
      </w:r>
      <w:r w:rsidR="00E85DFF" w:rsidRPr="005D1845">
        <w:rPr>
          <w:sz w:val="22"/>
          <w:shd w:val="clear" w:color="auto" w:fill="FFFFFF"/>
          <w:lang w:val="es-BO"/>
        </w:rPr>
        <w:t>(2006). “Cambio en los Instrumentos de Política M</w:t>
      </w:r>
      <w:r w:rsidRPr="005D1845">
        <w:rPr>
          <w:sz w:val="22"/>
          <w:shd w:val="clear" w:color="auto" w:fill="FFFFFF"/>
          <w:lang w:val="es-BO"/>
        </w:rPr>
        <w:t>onetaria</w:t>
      </w:r>
      <w:r w:rsidR="00E85DFF" w:rsidRPr="005D1845">
        <w:rPr>
          <w:sz w:val="22"/>
          <w:shd w:val="clear" w:color="auto" w:fill="FFFFFF"/>
          <w:lang w:val="es-BO"/>
        </w:rPr>
        <w:t>”</w:t>
      </w:r>
      <w:r w:rsidRPr="005D1845">
        <w:rPr>
          <w:sz w:val="22"/>
          <w:shd w:val="clear" w:color="auto" w:fill="FFFFFF"/>
          <w:lang w:val="es-BO"/>
        </w:rPr>
        <w:t>. </w:t>
      </w:r>
      <w:r w:rsidR="00E85DFF" w:rsidRPr="005D1845">
        <w:rPr>
          <w:sz w:val="22"/>
          <w:shd w:val="clear" w:color="auto" w:fill="FFFFFF"/>
          <w:lang w:val="es-BO"/>
        </w:rPr>
        <w:t xml:space="preserve">Revista </w:t>
      </w:r>
      <w:r w:rsidRPr="005D1845">
        <w:rPr>
          <w:sz w:val="22"/>
          <w:lang w:val="es-BO"/>
        </w:rPr>
        <w:t>Coyuntura Económica</w:t>
      </w:r>
      <w:r w:rsidRPr="005D1845">
        <w:rPr>
          <w:sz w:val="22"/>
          <w:shd w:val="clear" w:color="auto" w:fill="FFFFFF"/>
          <w:lang w:val="es-BO"/>
        </w:rPr>
        <w:t>, </w:t>
      </w:r>
      <w:r w:rsidR="00E85DFF" w:rsidRPr="005D1845">
        <w:rPr>
          <w:sz w:val="22"/>
          <w:shd w:val="clear" w:color="auto" w:fill="FFFFFF"/>
          <w:lang w:val="es-BO"/>
        </w:rPr>
        <w:t xml:space="preserve">Volumen </w:t>
      </w:r>
      <w:r w:rsidRPr="005D1845">
        <w:rPr>
          <w:sz w:val="22"/>
          <w:lang w:val="es-BO"/>
        </w:rPr>
        <w:t>35</w:t>
      </w:r>
      <w:r w:rsidR="00E85DFF" w:rsidRPr="005D1845">
        <w:rPr>
          <w:sz w:val="22"/>
          <w:shd w:val="clear" w:color="auto" w:fill="FFFFFF"/>
          <w:lang w:val="es-BO"/>
        </w:rPr>
        <w:t>, número 2</w:t>
      </w:r>
      <w:r w:rsidRPr="005D1845">
        <w:rPr>
          <w:sz w:val="22"/>
          <w:shd w:val="clear" w:color="auto" w:fill="FFFFFF"/>
          <w:lang w:val="es-BO"/>
        </w:rPr>
        <w:t xml:space="preserve">, </w:t>
      </w:r>
      <w:r w:rsidR="00E85DFF" w:rsidRPr="005D1845">
        <w:rPr>
          <w:sz w:val="22"/>
          <w:shd w:val="clear" w:color="auto" w:fill="FFFFFF"/>
          <w:lang w:val="es-BO"/>
        </w:rPr>
        <w:t xml:space="preserve">pg. </w:t>
      </w:r>
      <w:r w:rsidRPr="005D1845">
        <w:rPr>
          <w:sz w:val="22"/>
          <w:shd w:val="clear" w:color="auto" w:fill="FFFFFF"/>
          <w:lang w:val="es-BO"/>
        </w:rPr>
        <w:t>93-100.</w:t>
      </w:r>
    </w:p>
    <w:p w14:paraId="4D4BF6C7" w14:textId="77777777" w:rsidR="00DE469B" w:rsidRPr="005D1845" w:rsidRDefault="00DE469B" w:rsidP="00096C84">
      <w:pPr>
        <w:spacing w:after="0" w:line="240" w:lineRule="auto"/>
        <w:ind w:left="45" w:right="530"/>
        <w:rPr>
          <w:sz w:val="22"/>
          <w:lang w:val="es-BO"/>
        </w:rPr>
      </w:pPr>
    </w:p>
    <w:p w14:paraId="1C9086EA" w14:textId="57AC2B00" w:rsidR="00CC65FD" w:rsidRPr="005D1845" w:rsidRDefault="00DE469B" w:rsidP="00096C84">
      <w:pPr>
        <w:spacing w:after="0" w:line="240" w:lineRule="auto"/>
        <w:ind w:left="45" w:right="530"/>
        <w:rPr>
          <w:sz w:val="22"/>
          <w:shd w:val="clear" w:color="auto" w:fill="FFFFFF"/>
        </w:rPr>
      </w:pPr>
      <w:r w:rsidRPr="005D1845">
        <w:rPr>
          <w:sz w:val="22"/>
          <w:shd w:val="clear" w:color="auto" w:fill="FFFFFF"/>
          <w:lang w:val="es-BO"/>
        </w:rPr>
        <w:t xml:space="preserve">Urrutia, M., Hofstetter, M. y Hamann, F. (2014). </w:t>
      </w:r>
      <w:r w:rsidRPr="005D1845">
        <w:rPr>
          <w:sz w:val="22"/>
          <w:shd w:val="clear" w:color="auto" w:fill="FFFFFF"/>
        </w:rPr>
        <w:t>“Inflation Targeting in Colombia, 2002-2012”, </w:t>
      </w:r>
      <w:r w:rsidRPr="005D1845">
        <w:rPr>
          <w:rStyle w:val="nfasis"/>
          <w:sz w:val="22"/>
          <w:shd w:val="clear" w:color="auto" w:fill="FFFFFF"/>
        </w:rPr>
        <w:t>IDB</w:t>
      </w:r>
      <w:r w:rsidRPr="005D1845">
        <w:rPr>
          <w:sz w:val="22"/>
          <w:shd w:val="clear" w:color="auto" w:fill="FFFFFF"/>
        </w:rPr>
        <w:t> </w:t>
      </w:r>
      <w:r w:rsidRPr="005D1845">
        <w:rPr>
          <w:rStyle w:val="nfasis"/>
          <w:sz w:val="22"/>
          <w:shd w:val="clear" w:color="auto" w:fill="FFFFFF"/>
        </w:rPr>
        <w:t>Working Paper Series</w:t>
      </w:r>
      <w:r w:rsidRPr="005D1845">
        <w:rPr>
          <w:sz w:val="22"/>
          <w:shd w:val="clear" w:color="auto" w:fill="FFFFFF"/>
        </w:rPr>
        <w:t> Nº IDB-WP-487.</w:t>
      </w:r>
    </w:p>
    <w:p w14:paraId="02FA916B" w14:textId="77777777" w:rsidR="00FB6B61" w:rsidRPr="005D1845" w:rsidRDefault="00FB6B61" w:rsidP="00096C84">
      <w:pPr>
        <w:spacing w:after="0" w:line="240" w:lineRule="auto"/>
        <w:ind w:left="45" w:right="530"/>
        <w:rPr>
          <w:sz w:val="22"/>
        </w:rPr>
      </w:pPr>
    </w:p>
    <w:p w14:paraId="3E01A49B" w14:textId="591E2BDC" w:rsidR="00376BC6" w:rsidRPr="005D1845" w:rsidRDefault="00591E0E" w:rsidP="00096C84">
      <w:pPr>
        <w:spacing w:after="0" w:line="240" w:lineRule="auto"/>
        <w:ind w:left="35" w:right="530" w:firstLine="0"/>
        <w:rPr>
          <w:b/>
          <w:sz w:val="22"/>
        </w:rPr>
      </w:pPr>
      <w:r w:rsidRPr="005D1845">
        <w:rPr>
          <w:sz w:val="22"/>
        </w:rPr>
        <w:t>Zakoian, J.M</w:t>
      </w:r>
      <w:r w:rsidR="006C27A0" w:rsidRPr="005D1845">
        <w:rPr>
          <w:sz w:val="22"/>
        </w:rPr>
        <w:t>. (1994), “T</w:t>
      </w:r>
      <w:r w:rsidR="006426FC" w:rsidRPr="005D1845">
        <w:rPr>
          <w:sz w:val="22"/>
        </w:rPr>
        <w:t>hres</w:t>
      </w:r>
      <w:r w:rsidR="00B87AEA" w:rsidRPr="005D1845">
        <w:rPr>
          <w:sz w:val="22"/>
        </w:rPr>
        <w:t>hold Heteroskedastic M</w:t>
      </w:r>
      <w:r w:rsidR="006426FC" w:rsidRPr="005D1845">
        <w:rPr>
          <w:sz w:val="22"/>
        </w:rPr>
        <w:t xml:space="preserve">odels”, </w:t>
      </w:r>
      <w:r w:rsidR="00911B69" w:rsidRPr="005D1845">
        <w:rPr>
          <w:i/>
          <w:sz w:val="22"/>
        </w:rPr>
        <w:t>Journal of Economic Dynamics and C</w:t>
      </w:r>
      <w:r w:rsidR="006426FC" w:rsidRPr="005D1845">
        <w:rPr>
          <w:i/>
          <w:sz w:val="22"/>
        </w:rPr>
        <w:t>ontrol</w:t>
      </w:r>
      <w:r w:rsidR="006426FC" w:rsidRPr="005D1845">
        <w:rPr>
          <w:sz w:val="22"/>
        </w:rPr>
        <w:t>,</w:t>
      </w:r>
      <w:r w:rsidR="000D24C8" w:rsidRPr="005D1845">
        <w:rPr>
          <w:sz w:val="22"/>
        </w:rPr>
        <w:t xml:space="preserve"> pp.</w:t>
      </w:r>
      <w:r w:rsidR="006426FC" w:rsidRPr="005D1845">
        <w:rPr>
          <w:sz w:val="22"/>
        </w:rPr>
        <w:t xml:space="preserve"> 931-944</w:t>
      </w:r>
      <w:r w:rsidR="000D24C8" w:rsidRPr="005D1845">
        <w:rPr>
          <w:b/>
          <w:sz w:val="22"/>
        </w:rPr>
        <w:t>.</w:t>
      </w:r>
    </w:p>
    <w:p w14:paraId="50621720" w14:textId="5803FB2C" w:rsidR="00DE469B" w:rsidRPr="005D1845" w:rsidRDefault="00DE469B" w:rsidP="00DE469B">
      <w:pPr>
        <w:spacing w:after="0" w:line="240" w:lineRule="auto"/>
        <w:ind w:left="0" w:right="530" w:firstLine="0"/>
        <w:rPr>
          <w:b/>
          <w:sz w:val="22"/>
        </w:rPr>
      </w:pPr>
    </w:p>
    <w:p w14:paraId="00DC51B5" w14:textId="7D26F783" w:rsidR="00C57D19" w:rsidRPr="005D1845" w:rsidRDefault="00B76097" w:rsidP="00C57D19">
      <w:pPr>
        <w:spacing w:after="0" w:line="240" w:lineRule="auto"/>
        <w:ind w:left="35" w:right="530" w:firstLine="0"/>
        <w:rPr>
          <w:sz w:val="22"/>
        </w:rPr>
      </w:pPr>
      <w:r w:rsidRPr="005D1845">
        <w:rPr>
          <w:sz w:val="22"/>
        </w:rPr>
        <w:t>Wray, R. (2004).</w:t>
      </w:r>
      <w:r w:rsidR="00E046A0" w:rsidRPr="005D1845">
        <w:rPr>
          <w:sz w:val="22"/>
        </w:rPr>
        <w:t xml:space="preserve"> “Inte</w:t>
      </w:r>
      <w:r w:rsidRPr="005D1845">
        <w:rPr>
          <w:sz w:val="22"/>
        </w:rPr>
        <w:t>rnational Aspects Current Monetary Policy”, CFEPS D</w:t>
      </w:r>
      <w:r w:rsidR="00E046A0" w:rsidRPr="005D1845">
        <w:rPr>
          <w:sz w:val="22"/>
        </w:rPr>
        <w:t>ocumento</w:t>
      </w:r>
      <w:r w:rsidR="00C57D19" w:rsidRPr="005D1845">
        <w:rPr>
          <w:sz w:val="22"/>
        </w:rPr>
        <w:t xml:space="preserve"> </w:t>
      </w:r>
      <w:r w:rsidR="0008756A" w:rsidRPr="005D1845">
        <w:rPr>
          <w:sz w:val="22"/>
        </w:rPr>
        <w:t>de trabajo, nro</w:t>
      </w:r>
      <w:r w:rsidR="00C57D19" w:rsidRPr="005D1845">
        <w:rPr>
          <w:sz w:val="22"/>
        </w:rPr>
        <w:t>. 31, marzo, University of Missouri, Center for Full Employment and Price Stability.</w:t>
      </w:r>
    </w:p>
    <w:p w14:paraId="5AF24A36" w14:textId="0CEEB1DD" w:rsidR="008E5634" w:rsidRPr="005D1845" w:rsidRDefault="008E5634" w:rsidP="00C57D19">
      <w:pPr>
        <w:spacing w:after="0" w:line="240" w:lineRule="auto"/>
        <w:ind w:left="35" w:right="530" w:firstLine="0"/>
        <w:rPr>
          <w:sz w:val="22"/>
        </w:rPr>
      </w:pPr>
    </w:p>
    <w:p w14:paraId="3C2A3251" w14:textId="3736EA14" w:rsidR="008E5634" w:rsidRPr="005D1845" w:rsidRDefault="008E5634" w:rsidP="00C57D19">
      <w:pPr>
        <w:spacing w:after="0" w:line="240" w:lineRule="auto"/>
        <w:ind w:left="35" w:right="530" w:firstLine="0"/>
        <w:rPr>
          <w:sz w:val="22"/>
        </w:rPr>
      </w:pPr>
      <w:r w:rsidRPr="005D1845">
        <w:rPr>
          <w:sz w:val="22"/>
        </w:rPr>
        <w:t>Messmacher</w:t>
      </w:r>
      <w:r w:rsidR="003C744D" w:rsidRPr="005D1845">
        <w:rPr>
          <w:sz w:val="22"/>
        </w:rPr>
        <w:t>, M.</w:t>
      </w:r>
      <w:r w:rsidRPr="005D1845">
        <w:rPr>
          <w:sz w:val="22"/>
        </w:rPr>
        <w:t xml:space="preserve"> y Alejandro Wer</w:t>
      </w:r>
      <w:r w:rsidR="00AB2783" w:rsidRPr="005D1845">
        <w:rPr>
          <w:sz w:val="22"/>
        </w:rPr>
        <w:t xml:space="preserve">ner (2002), “A Small Structural </w:t>
      </w:r>
      <w:r w:rsidRPr="005D1845">
        <w:rPr>
          <w:sz w:val="22"/>
        </w:rPr>
        <w:t>Model of the Mexican Economy”, mimeo., Banco de México.</w:t>
      </w:r>
    </w:p>
    <w:p w14:paraId="6AC9AC04" w14:textId="6821E92D" w:rsidR="00E046A0" w:rsidRPr="005D1845" w:rsidRDefault="00C57D19" w:rsidP="00C57D19">
      <w:pPr>
        <w:spacing w:after="0" w:line="240" w:lineRule="auto"/>
        <w:ind w:left="35" w:right="530" w:firstLine="0"/>
        <w:rPr>
          <w:sz w:val="22"/>
        </w:rPr>
      </w:pPr>
      <w:r w:rsidRPr="005D1845">
        <w:rPr>
          <w:sz w:val="22"/>
        </w:rPr>
        <w:t xml:space="preserve"> </w:t>
      </w:r>
    </w:p>
    <w:p w14:paraId="14A8BE4A" w14:textId="26AA3540" w:rsidR="00DD2B4E" w:rsidRPr="005D1845" w:rsidRDefault="000D24C8" w:rsidP="00096C84">
      <w:pPr>
        <w:spacing w:after="0" w:line="240" w:lineRule="auto"/>
        <w:ind w:left="35" w:right="530" w:firstLine="0"/>
        <w:rPr>
          <w:sz w:val="22"/>
        </w:rPr>
      </w:pPr>
      <w:r w:rsidRPr="005D1845">
        <w:rPr>
          <w:sz w:val="22"/>
        </w:rPr>
        <w:t xml:space="preserve">Wicksell, K. </w:t>
      </w:r>
      <w:r w:rsidR="00DD2B4E" w:rsidRPr="005D1845">
        <w:rPr>
          <w:sz w:val="22"/>
        </w:rPr>
        <w:t xml:space="preserve">(1965), </w:t>
      </w:r>
      <w:r w:rsidR="00105BBD" w:rsidRPr="005D1845">
        <w:rPr>
          <w:sz w:val="22"/>
        </w:rPr>
        <w:t>“</w:t>
      </w:r>
      <w:r w:rsidR="00B87AEA" w:rsidRPr="005D1845">
        <w:rPr>
          <w:sz w:val="22"/>
        </w:rPr>
        <w:t>Interest and P</w:t>
      </w:r>
      <w:r w:rsidR="00DD2B4E" w:rsidRPr="005D1845">
        <w:rPr>
          <w:sz w:val="22"/>
        </w:rPr>
        <w:t>rices</w:t>
      </w:r>
      <w:r w:rsidR="00105BBD" w:rsidRPr="005D1845">
        <w:rPr>
          <w:sz w:val="22"/>
        </w:rPr>
        <w:t>”</w:t>
      </w:r>
      <w:r w:rsidR="00DD2B4E" w:rsidRPr="005D1845">
        <w:rPr>
          <w:sz w:val="22"/>
        </w:rPr>
        <w:t>, Nueva York, Augustus M. Kelley, pp. 337.</w:t>
      </w:r>
    </w:p>
    <w:p w14:paraId="2898D18F" w14:textId="77777777" w:rsidR="00DD2B4E" w:rsidRPr="005D1845" w:rsidRDefault="00DD2B4E" w:rsidP="00096C84">
      <w:pPr>
        <w:spacing w:after="0" w:line="240" w:lineRule="auto"/>
        <w:ind w:left="35" w:right="530" w:firstLine="0"/>
        <w:rPr>
          <w:sz w:val="22"/>
        </w:rPr>
      </w:pPr>
    </w:p>
    <w:p w14:paraId="09AC2907" w14:textId="057A88C2" w:rsidR="00DD2B4E" w:rsidRPr="005D1845" w:rsidRDefault="00DD2B4E" w:rsidP="00096C84">
      <w:pPr>
        <w:spacing w:after="0" w:line="240" w:lineRule="auto"/>
        <w:ind w:left="35" w:right="530" w:firstLine="0"/>
        <w:rPr>
          <w:sz w:val="22"/>
        </w:rPr>
      </w:pPr>
      <w:r w:rsidRPr="005D1845">
        <w:rPr>
          <w:sz w:val="22"/>
        </w:rPr>
        <w:t xml:space="preserve">Woodford, Michael (2003), </w:t>
      </w:r>
      <w:r w:rsidR="006C27A0" w:rsidRPr="005D1845">
        <w:rPr>
          <w:sz w:val="22"/>
        </w:rPr>
        <w:t>“</w:t>
      </w:r>
      <w:r w:rsidR="00EF3250" w:rsidRPr="005D1845">
        <w:rPr>
          <w:sz w:val="22"/>
        </w:rPr>
        <w:t>Interest and P</w:t>
      </w:r>
      <w:r w:rsidR="000D24C8" w:rsidRPr="005D1845">
        <w:rPr>
          <w:sz w:val="22"/>
        </w:rPr>
        <w:t>rices: Foundations of a Theory of Monetary P</w:t>
      </w:r>
      <w:r w:rsidRPr="005D1845">
        <w:rPr>
          <w:sz w:val="22"/>
        </w:rPr>
        <w:t>olicy</w:t>
      </w:r>
      <w:r w:rsidR="006C27A0" w:rsidRPr="005D1845">
        <w:rPr>
          <w:sz w:val="22"/>
        </w:rPr>
        <w:t>”</w:t>
      </w:r>
      <w:r w:rsidR="000B069F" w:rsidRPr="005D1845">
        <w:rPr>
          <w:sz w:val="22"/>
        </w:rPr>
        <w:t xml:space="preserve">, </w:t>
      </w:r>
      <w:r w:rsidRPr="005D1845">
        <w:rPr>
          <w:sz w:val="22"/>
        </w:rPr>
        <w:t>Princeton University Press, pp. 765.</w:t>
      </w:r>
    </w:p>
    <w:p w14:paraId="48DD2483" w14:textId="64D85067" w:rsidR="006F2680" w:rsidRPr="005D1845" w:rsidRDefault="006F2680" w:rsidP="00096C84">
      <w:pPr>
        <w:spacing w:after="0" w:line="240" w:lineRule="auto"/>
        <w:ind w:left="35" w:right="530" w:firstLine="0"/>
        <w:rPr>
          <w:sz w:val="22"/>
        </w:rPr>
      </w:pPr>
    </w:p>
    <w:p w14:paraId="52038E46" w14:textId="0D2AEDFC" w:rsidR="006F2680" w:rsidRPr="005D1845" w:rsidRDefault="006F2680" w:rsidP="006F2680">
      <w:pPr>
        <w:spacing w:after="0" w:line="240" w:lineRule="auto"/>
        <w:ind w:left="45" w:right="527" w:hanging="11"/>
        <w:rPr>
          <w:sz w:val="22"/>
        </w:rPr>
      </w:pPr>
      <w:r w:rsidRPr="005D1845">
        <w:rPr>
          <w:sz w:val="22"/>
        </w:rPr>
        <w:t xml:space="preserve">Wolf, H. (1990). “Extreme Inflation: Dynamics and Stabilization”, Brookings Papers on Economic Activity, no. 2, Washington, DC, pp. 1-64. </w:t>
      </w:r>
    </w:p>
    <w:p w14:paraId="59916A44" w14:textId="77777777" w:rsidR="006F2680" w:rsidRPr="005D1845" w:rsidRDefault="006F2680" w:rsidP="00BC2925">
      <w:pPr>
        <w:spacing w:after="0" w:line="240" w:lineRule="auto"/>
        <w:ind w:left="45" w:right="527" w:hanging="11"/>
        <w:rPr>
          <w:sz w:val="22"/>
        </w:rPr>
      </w:pPr>
    </w:p>
    <w:p w14:paraId="516A280A" w14:textId="281CC43F" w:rsidR="00BC2925" w:rsidRPr="005D1845" w:rsidRDefault="00BC2925" w:rsidP="00BC2925">
      <w:pPr>
        <w:spacing w:after="0" w:line="240" w:lineRule="auto"/>
        <w:ind w:left="45" w:right="527" w:hanging="11"/>
        <w:rPr>
          <w:sz w:val="22"/>
        </w:rPr>
      </w:pPr>
      <w:r w:rsidRPr="005D1845">
        <w:rPr>
          <w:sz w:val="22"/>
        </w:rPr>
        <w:t>Yeldan A.  Erinc y Epstein Gerald (2008).</w:t>
      </w:r>
      <w:r w:rsidR="00DE469B" w:rsidRPr="005D1845">
        <w:rPr>
          <w:sz w:val="22"/>
        </w:rPr>
        <w:t xml:space="preserve"> </w:t>
      </w:r>
      <w:r w:rsidRPr="005D1845">
        <w:rPr>
          <w:sz w:val="22"/>
        </w:rPr>
        <w:t>“Inflation Targeting, Employment</w:t>
      </w:r>
      <w:r w:rsidR="00DE469B" w:rsidRPr="005D1845">
        <w:rPr>
          <w:sz w:val="22"/>
        </w:rPr>
        <w:t xml:space="preserve"> </w:t>
      </w:r>
      <w:r w:rsidRPr="005D1845">
        <w:rPr>
          <w:sz w:val="22"/>
        </w:rPr>
        <w:t>Creation and</w:t>
      </w:r>
      <w:r w:rsidR="00DE469B" w:rsidRPr="005D1845">
        <w:rPr>
          <w:sz w:val="22"/>
        </w:rPr>
        <w:t xml:space="preserve"> </w:t>
      </w:r>
      <w:r w:rsidRPr="005D1845">
        <w:rPr>
          <w:sz w:val="22"/>
        </w:rPr>
        <w:t>Economic Development: Assesing the Impacts and Policy Alternatives, en International Review of Applied Economics, Volumen 22, pp. 131-134.</w:t>
      </w:r>
    </w:p>
    <w:p w14:paraId="5BC3CC2F" w14:textId="77777777" w:rsidR="00BC2925" w:rsidRPr="005D1845" w:rsidRDefault="00BC2925" w:rsidP="00BC2925">
      <w:pPr>
        <w:spacing w:after="0" w:line="240" w:lineRule="auto"/>
        <w:ind w:left="50" w:right="527" w:firstLine="0"/>
        <w:rPr>
          <w:sz w:val="22"/>
        </w:rPr>
      </w:pPr>
      <w:r w:rsidRPr="005D1845">
        <w:rPr>
          <w:sz w:val="22"/>
        </w:rPr>
        <w:t xml:space="preserve"> </w:t>
      </w:r>
    </w:p>
    <w:p w14:paraId="7CD1695E" w14:textId="3AD8A83B" w:rsidR="00DE469B" w:rsidRPr="005D1845" w:rsidRDefault="00DE469B" w:rsidP="00BC2925">
      <w:pPr>
        <w:spacing w:after="0" w:line="240" w:lineRule="auto"/>
        <w:ind w:left="45" w:right="527" w:hanging="11"/>
        <w:rPr>
          <w:sz w:val="22"/>
        </w:rPr>
      </w:pPr>
    </w:p>
    <w:p w14:paraId="088E7329" w14:textId="2CDFE64D" w:rsidR="00DE469B" w:rsidRPr="005D1845" w:rsidRDefault="00DE469B" w:rsidP="00BC2925">
      <w:pPr>
        <w:spacing w:after="0" w:line="240" w:lineRule="auto"/>
        <w:ind w:left="45" w:right="527" w:hanging="11"/>
        <w:rPr>
          <w:sz w:val="22"/>
        </w:rPr>
      </w:pPr>
    </w:p>
    <w:p w14:paraId="2492E826" w14:textId="367700E6" w:rsidR="00DE469B" w:rsidRPr="005D1845" w:rsidRDefault="00DE469B" w:rsidP="00DE469B">
      <w:pPr>
        <w:spacing w:after="0" w:line="240" w:lineRule="auto"/>
        <w:ind w:left="50" w:right="0" w:firstLine="0"/>
        <w:jc w:val="left"/>
        <w:rPr>
          <w:b/>
          <w:sz w:val="22"/>
        </w:rPr>
      </w:pPr>
    </w:p>
    <w:p w14:paraId="6EBC43B9" w14:textId="092D7C03" w:rsidR="00DE469B" w:rsidRDefault="00DE469B" w:rsidP="00A7192A">
      <w:pPr>
        <w:spacing w:after="0" w:line="240" w:lineRule="auto"/>
        <w:ind w:left="0" w:right="0" w:firstLine="0"/>
        <w:jc w:val="left"/>
        <w:rPr>
          <w:b/>
          <w:sz w:val="22"/>
        </w:rPr>
      </w:pPr>
    </w:p>
    <w:p w14:paraId="30FB2DD9" w14:textId="0D6FCA24" w:rsidR="00CA1AA5" w:rsidRDefault="00CA1AA5" w:rsidP="00A7192A">
      <w:pPr>
        <w:spacing w:after="0" w:line="240" w:lineRule="auto"/>
        <w:ind w:left="0" w:right="0" w:firstLine="0"/>
        <w:jc w:val="left"/>
        <w:rPr>
          <w:b/>
          <w:sz w:val="22"/>
        </w:rPr>
      </w:pPr>
    </w:p>
    <w:p w14:paraId="14AA7EAE" w14:textId="19AC1253" w:rsidR="00CA1AA5" w:rsidRDefault="00CA1AA5" w:rsidP="00A7192A">
      <w:pPr>
        <w:spacing w:after="0" w:line="240" w:lineRule="auto"/>
        <w:ind w:left="0" w:right="0" w:firstLine="0"/>
        <w:jc w:val="left"/>
        <w:rPr>
          <w:b/>
          <w:sz w:val="22"/>
        </w:rPr>
      </w:pPr>
    </w:p>
    <w:p w14:paraId="7947A8AE" w14:textId="34E09C3D" w:rsidR="00CA1AA5" w:rsidRDefault="00CA1AA5" w:rsidP="00A7192A">
      <w:pPr>
        <w:spacing w:after="0" w:line="240" w:lineRule="auto"/>
        <w:ind w:left="0" w:right="0" w:firstLine="0"/>
        <w:jc w:val="left"/>
        <w:rPr>
          <w:b/>
          <w:sz w:val="22"/>
        </w:rPr>
      </w:pPr>
    </w:p>
    <w:p w14:paraId="27D69146" w14:textId="0A6381C6" w:rsidR="00CA1AA5" w:rsidRDefault="00CA1AA5" w:rsidP="00A7192A">
      <w:pPr>
        <w:spacing w:after="0" w:line="240" w:lineRule="auto"/>
        <w:ind w:left="0" w:right="0" w:firstLine="0"/>
        <w:jc w:val="left"/>
        <w:rPr>
          <w:b/>
          <w:sz w:val="22"/>
        </w:rPr>
      </w:pPr>
    </w:p>
    <w:p w14:paraId="26763F7B" w14:textId="5C3EF873" w:rsidR="00CA1AA5" w:rsidRDefault="00CA1AA5" w:rsidP="00A7192A">
      <w:pPr>
        <w:spacing w:after="0" w:line="240" w:lineRule="auto"/>
        <w:ind w:left="0" w:right="0" w:firstLine="0"/>
        <w:jc w:val="left"/>
        <w:rPr>
          <w:b/>
          <w:sz w:val="22"/>
        </w:rPr>
      </w:pPr>
    </w:p>
    <w:p w14:paraId="76CE34BB" w14:textId="56D5BEF5" w:rsidR="00CA1AA5" w:rsidRDefault="00CA1AA5" w:rsidP="00A7192A">
      <w:pPr>
        <w:spacing w:after="0" w:line="240" w:lineRule="auto"/>
        <w:ind w:left="0" w:right="0" w:firstLine="0"/>
        <w:jc w:val="left"/>
        <w:rPr>
          <w:b/>
          <w:sz w:val="22"/>
        </w:rPr>
      </w:pPr>
    </w:p>
    <w:p w14:paraId="610B9651" w14:textId="332E5AF3" w:rsidR="00CA1AA5" w:rsidRDefault="00CA1AA5" w:rsidP="00A7192A">
      <w:pPr>
        <w:spacing w:after="0" w:line="240" w:lineRule="auto"/>
        <w:ind w:left="0" w:right="0" w:firstLine="0"/>
        <w:jc w:val="left"/>
        <w:rPr>
          <w:b/>
          <w:sz w:val="22"/>
        </w:rPr>
      </w:pPr>
    </w:p>
    <w:p w14:paraId="1463E509" w14:textId="620794A7" w:rsidR="00CA1AA5" w:rsidRDefault="00CA1AA5" w:rsidP="00A7192A">
      <w:pPr>
        <w:spacing w:after="0" w:line="240" w:lineRule="auto"/>
        <w:ind w:left="0" w:right="0" w:firstLine="0"/>
        <w:jc w:val="left"/>
        <w:rPr>
          <w:b/>
          <w:sz w:val="22"/>
        </w:rPr>
      </w:pPr>
    </w:p>
    <w:p w14:paraId="57DEC686" w14:textId="6F0060E1" w:rsidR="00CA1AA5" w:rsidRDefault="00CA1AA5" w:rsidP="00A7192A">
      <w:pPr>
        <w:spacing w:after="0" w:line="240" w:lineRule="auto"/>
        <w:ind w:left="0" w:right="0" w:firstLine="0"/>
        <w:jc w:val="left"/>
        <w:rPr>
          <w:b/>
          <w:sz w:val="22"/>
        </w:rPr>
      </w:pPr>
    </w:p>
    <w:p w14:paraId="7C917F10" w14:textId="261D67A5" w:rsidR="00CA1AA5" w:rsidRDefault="00CA1AA5" w:rsidP="00A7192A">
      <w:pPr>
        <w:spacing w:after="0" w:line="240" w:lineRule="auto"/>
        <w:ind w:left="0" w:right="0" w:firstLine="0"/>
        <w:jc w:val="left"/>
        <w:rPr>
          <w:b/>
          <w:sz w:val="22"/>
        </w:rPr>
      </w:pPr>
    </w:p>
    <w:p w14:paraId="511DE5FA" w14:textId="5865AA80" w:rsidR="00CA1AA5" w:rsidRDefault="00CA1AA5" w:rsidP="00A7192A">
      <w:pPr>
        <w:spacing w:after="0" w:line="240" w:lineRule="auto"/>
        <w:ind w:left="0" w:right="0" w:firstLine="0"/>
        <w:jc w:val="left"/>
        <w:rPr>
          <w:b/>
          <w:sz w:val="22"/>
        </w:rPr>
      </w:pPr>
    </w:p>
    <w:p w14:paraId="4F4AD2F5" w14:textId="564350CA" w:rsidR="00CA1AA5" w:rsidRDefault="00CA1AA5" w:rsidP="00A7192A">
      <w:pPr>
        <w:spacing w:after="0" w:line="240" w:lineRule="auto"/>
        <w:ind w:left="0" w:right="0" w:firstLine="0"/>
        <w:jc w:val="left"/>
        <w:rPr>
          <w:b/>
          <w:sz w:val="22"/>
        </w:rPr>
      </w:pPr>
    </w:p>
    <w:p w14:paraId="6F7F44CC" w14:textId="09E3AA63" w:rsidR="00CA1AA5" w:rsidRDefault="00CA1AA5" w:rsidP="00A7192A">
      <w:pPr>
        <w:spacing w:after="0" w:line="240" w:lineRule="auto"/>
        <w:ind w:left="0" w:right="0" w:firstLine="0"/>
        <w:jc w:val="left"/>
        <w:rPr>
          <w:b/>
          <w:sz w:val="22"/>
        </w:rPr>
      </w:pPr>
    </w:p>
    <w:p w14:paraId="7E0C4E40" w14:textId="11248B90" w:rsidR="00CA1AA5" w:rsidRDefault="00CA1AA5" w:rsidP="00A7192A">
      <w:pPr>
        <w:spacing w:after="0" w:line="240" w:lineRule="auto"/>
        <w:ind w:left="0" w:right="0" w:firstLine="0"/>
        <w:jc w:val="left"/>
        <w:rPr>
          <w:b/>
          <w:sz w:val="22"/>
        </w:rPr>
      </w:pPr>
    </w:p>
    <w:p w14:paraId="420ADCAB" w14:textId="6742A6B1" w:rsidR="00CA1AA5" w:rsidRDefault="00CA1AA5" w:rsidP="00A7192A">
      <w:pPr>
        <w:spacing w:after="0" w:line="240" w:lineRule="auto"/>
        <w:ind w:left="0" w:right="0" w:firstLine="0"/>
        <w:jc w:val="left"/>
        <w:rPr>
          <w:b/>
          <w:sz w:val="22"/>
        </w:rPr>
      </w:pPr>
    </w:p>
    <w:p w14:paraId="0301BF14" w14:textId="0AFCA9A0" w:rsidR="00CA1AA5" w:rsidRDefault="00CA1AA5" w:rsidP="00A7192A">
      <w:pPr>
        <w:spacing w:after="0" w:line="240" w:lineRule="auto"/>
        <w:ind w:left="0" w:right="0" w:firstLine="0"/>
        <w:jc w:val="left"/>
        <w:rPr>
          <w:b/>
          <w:sz w:val="22"/>
        </w:rPr>
      </w:pPr>
    </w:p>
    <w:p w14:paraId="1A041AEC" w14:textId="13D02811" w:rsidR="00CA1AA5" w:rsidRDefault="00CA1AA5" w:rsidP="00A7192A">
      <w:pPr>
        <w:spacing w:after="0" w:line="240" w:lineRule="auto"/>
        <w:ind w:left="0" w:right="0" w:firstLine="0"/>
        <w:jc w:val="left"/>
        <w:rPr>
          <w:b/>
          <w:sz w:val="22"/>
        </w:rPr>
      </w:pPr>
    </w:p>
    <w:p w14:paraId="339DCB66" w14:textId="43877FEF" w:rsidR="00CA1AA5" w:rsidRDefault="00CA1AA5" w:rsidP="00A7192A">
      <w:pPr>
        <w:spacing w:after="0" w:line="240" w:lineRule="auto"/>
        <w:ind w:left="0" w:right="0" w:firstLine="0"/>
        <w:jc w:val="left"/>
        <w:rPr>
          <w:b/>
          <w:sz w:val="22"/>
        </w:rPr>
      </w:pPr>
    </w:p>
    <w:p w14:paraId="4043BF47" w14:textId="51767DA6" w:rsidR="00CA1AA5" w:rsidRDefault="00CA1AA5" w:rsidP="00A7192A">
      <w:pPr>
        <w:spacing w:after="0" w:line="240" w:lineRule="auto"/>
        <w:ind w:left="0" w:right="0" w:firstLine="0"/>
        <w:jc w:val="left"/>
        <w:rPr>
          <w:b/>
          <w:sz w:val="22"/>
        </w:rPr>
      </w:pPr>
    </w:p>
    <w:p w14:paraId="49BF1CA0" w14:textId="2E83ED66" w:rsidR="00CA1AA5" w:rsidRDefault="00CA1AA5" w:rsidP="00A7192A">
      <w:pPr>
        <w:spacing w:after="0" w:line="240" w:lineRule="auto"/>
        <w:ind w:left="0" w:right="0" w:firstLine="0"/>
        <w:jc w:val="left"/>
        <w:rPr>
          <w:b/>
          <w:sz w:val="22"/>
        </w:rPr>
      </w:pPr>
    </w:p>
    <w:p w14:paraId="16373980" w14:textId="4C583701" w:rsidR="00CA1AA5" w:rsidRDefault="00CA1AA5" w:rsidP="00A7192A">
      <w:pPr>
        <w:spacing w:after="0" w:line="240" w:lineRule="auto"/>
        <w:ind w:left="0" w:right="0" w:firstLine="0"/>
        <w:jc w:val="left"/>
        <w:rPr>
          <w:b/>
          <w:sz w:val="22"/>
        </w:rPr>
      </w:pPr>
    </w:p>
    <w:p w14:paraId="6F42ECAA" w14:textId="0C88D161" w:rsidR="00CA1AA5" w:rsidRDefault="00CA1AA5" w:rsidP="00A7192A">
      <w:pPr>
        <w:spacing w:after="0" w:line="240" w:lineRule="auto"/>
        <w:ind w:left="0" w:right="0" w:firstLine="0"/>
        <w:jc w:val="left"/>
        <w:rPr>
          <w:b/>
          <w:sz w:val="22"/>
        </w:rPr>
      </w:pPr>
    </w:p>
    <w:p w14:paraId="77D5260A" w14:textId="619BDA41" w:rsidR="00CA1AA5" w:rsidRDefault="00CA1AA5" w:rsidP="00A7192A">
      <w:pPr>
        <w:spacing w:after="0" w:line="240" w:lineRule="auto"/>
        <w:ind w:left="0" w:right="0" w:firstLine="0"/>
        <w:jc w:val="left"/>
        <w:rPr>
          <w:b/>
          <w:sz w:val="22"/>
        </w:rPr>
      </w:pPr>
    </w:p>
    <w:p w14:paraId="3310E6C0" w14:textId="07FC5096" w:rsidR="00CA1AA5" w:rsidRDefault="00CA1AA5" w:rsidP="00A7192A">
      <w:pPr>
        <w:spacing w:after="0" w:line="240" w:lineRule="auto"/>
        <w:ind w:left="0" w:right="0" w:firstLine="0"/>
        <w:jc w:val="left"/>
        <w:rPr>
          <w:b/>
          <w:sz w:val="22"/>
        </w:rPr>
      </w:pPr>
    </w:p>
    <w:p w14:paraId="75AC3B7E" w14:textId="4D2CF6B6" w:rsidR="00CA1AA5" w:rsidRDefault="00CA1AA5" w:rsidP="00A7192A">
      <w:pPr>
        <w:spacing w:after="0" w:line="240" w:lineRule="auto"/>
        <w:ind w:left="0" w:right="0" w:firstLine="0"/>
        <w:jc w:val="left"/>
        <w:rPr>
          <w:b/>
          <w:sz w:val="22"/>
        </w:rPr>
      </w:pPr>
    </w:p>
    <w:p w14:paraId="510174E4" w14:textId="77777777" w:rsidR="00CA1AA5" w:rsidRPr="0008756A" w:rsidRDefault="00CA1AA5" w:rsidP="00A7192A">
      <w:pPr>
        <w:spacing w:after="0" w:line="240" w:lineRule="auto"/>
        <w:ind w:left="0" w:right="0" w:firstLine="0"/>
        <w:jc w:val="left"/>
        <w:rPr>
          <w:b/>
          <w:sz w:val="22"/>
        </w:rPr>
      </w:pPr>
    </w:p>
    <w:sectPr w:rsidR="00CA1AA5" w:rsidRPr="0008756A" w:rsidSect="009C0580">
      <w:headerReference w:type="even" r:id="rId116"/>
      <w:headerReference w:type="default" r:id="rId117"/>
      <w:footerReference w:type="even" r:id="rId118"/>
      <w:footerReference w:type="default" r:id="rId119"/>
      <w:headerReference w:type="first" r:id="rId120"/>
      <w:footerReference w:type="first" r:id="rId121"/>
      <w:pgSz w:w="11906" w:h="16838"/>
      <w:pgMar w:top="1273" w:right="1159" w:bottom="1417" w:left="1652" w:header="720" w:footer="7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392E8" w14:textId="77777777" w:rsidR="00E34B95" w:rsidRDefault="00E34B95">
      <w:pPr>
        <w:spacing w:after="0" w:line="240" w:lineRule="auto"/>
      </w:pPr>
      <w:r>
        <w:separator/>
      </w:r>
    </w:p>
  </w:endnote>
  <w:endnote w:type="continuationSeparator" w:id="0">
    <w:p w14:paraId="492F08C3" w14:textId="77777777" w:rsidR="00E34B95" w:rsidRDefault="00E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8BF60" w14:textId="77777777" w:rsidR="00E34B95" w:rsidRDefault="00E34B95">
    <w:pPr>
      <w:tabs>
        <w:tab w:val="center" w:pos="8495"/>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p w14:paraId="4D2EC831" w14:textId="77777777" w:rsidR="00E34B95" w:rsidRDefault="00E34B9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151284"/>
      <w:docPartObj>
        <w:docPartGallery w:val="Page Numbers (Bottom of Page)"/>
        <w:docPartUnique/>
      </w:docPartObj>
    </w:sdtPr>
    <w:sdtContent>
      <w:p w14:paraId="7709B09B" w14:textId="4CA49C1F" w:rsidR="00E34B95" w:rsidRDefault="00E34B95">
        <w:pPr>
          <w:pStyle w:val="Piedepgina"/>
          <w:jc w:val="center"/>
        </w:pPr>
        <w:r>
          <w:fldChar w:fldCharType="begin"/>
        </w:r>
        <w:r>
          <w:instrText>PAGE   \* MERGEFORMAT</w:instrText>
        </w:r>
        <w:r>
          <w:fldChar w:fldCharType="separate"/>
        </w:r>
        <w:r w:rsidR="00773497" w:rsidRPr="00773497">
          <w:rPr>
            <w:noProof/>
            <w:lang w:val="es-ES"/>
          </w:rPr>
          <w:t>20</w:t>
        </w:r>
        <w:r>
          <w:fldChar w:fldCharType="end"/>
        </w:r>
      </w:p>
    </w:sdtContent>
  </w:sdt>
  <w:p w14:paraId="39C93638" w14:textId="34127399" w:rsidR="00E34B95" w:rsidRDefault="00E34B95">
    <w:pPr>
      <w:tabs>
        <w:tab w:val="center" w:pos="8495"/>
      </w:tabs>
      <w:spacing w:after="0" w:line="259" w:lineRule="auto"/>
      <w:ind w:left="0" w:right="0" w:firstLine="0"/>
      <w:jc w:val="left"/>
    </w:pPr>
  </w:p>
  <w:p w14:paraId="2B8485D2" w14:textId="77777777" w:rsidR="00E34B95" w:rsidRDefault="00E34B9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71AB" w14:textId="1E8D082C" w:rsidR="00E34B95" w:rsidRDefault="00E34B95">
    <w:pPr>
      <w:tabs>
        <w:tab w:val="center" w:pos="8495"/>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4B15FB" w:rsidRPr="004B15FB">
      <w:rPr>
        <w:rFonts w:ascii="Times New Roman" w:eastAsia="Times New Roman" w:hAnsi="Times New Roman" w:cs="Times New Roman"/>
        <w:noProof/>
      </w:rPr>
      <w:t>5</w:t>
    </w:r>
    <w:r>
      <w:rPr>
        <w:rFonts w:ascii="Times New Roman" w:eastAsia="Times New Roman" w:hAnsi="Times New Roman" w:cs="Times New Roman"/>
      </w:rPr>
      <w:fldChar w:fldCharType="end"/>
    </w:r>
  </w:p>
  <w:p w14:paraId="2EBE50CD" w14:textId="77777777" w:rsidR="00E34B95" w:rsidRDefault="00E34B9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707EE" w14:textId="77777777" w:rsidR="00E34B95" w:rsidRDefault="00E34B95">
      <w:pPr>
        <w:spacing w:after="0" w:line="241" w:lineRule="auto"/>
        <w:ind w:left="50" w:right="539" w:firstLine="0"/>
      </w:pPr>
      <w:r>
        <w:separator/>
      </w:r>
    </w:p>
  </w:footnote>
  <w:footnote w:type="continuationSeparator" w:id="0">
    <w:p w14:paraId="3CF1E145" w14:textId="77777777" w:rsidR="00E34B95" w:rsidRDefault="00E34B95">
      <w:pPr>
        <w:spacing w:after="0" w:line="241" w:lineRule="auto"/>
        <w:ind w:left="50" w:right="539" w:firstLine="0"/>
      </w:pPr>
      <w:r>
        <w:continuationSeparator/>
      </w:r>
    </w:p>
  </w:footnote>
  <w:footnote w:id="1">
    <w:p w14:paraId="6622919E" w14:textId="026159C8" w:rsidR="00E34B95" w:rsidRPr="00D46BE9" w:rsidRDefault="00E34B95" w:rsidP="00F52B35">
      <w:pPr>
        <w:pStyle w:val="footnotedescription"/>
        <w:spacing w:line="240" w:lineRule="auto"/>
        <w:ind w:left="51" w:right="539"/>
        <w:rPr>
          <w:lang w:val="es-BO"/>
        </w:rPr>
      </w:pPr>
      <w:r>
        <w:rPr>
          <w:rStyle w:val="footnotemark"/>
        </w:rPr>
        <w:footnoteRef/>
      </w:r>
      <w:r>
        <w:rPr>
          <w:lang w:val="es-BO"/>
        </w:rPr>
        <w:t xml:space="preserve"> La Hipótesis </w:t>
      </w:r>
      <w:r w:rsidRPr="00D46BE9">
        <w:rPr>
          <w:lang w:val="es-BO"/>
        </w:rPr>
        <w:t xml:space="preserve">NAIRU, se refiere a la tasa de desempleo </w:t>
      </w:r>
      <w:r>
        <w:rPr>
          <w:lang w:val="es-BO"/>
        </w:rPr>
        <w:t>no aceleradora de la inflación</w:t>
      </w:r>
      <w:r w:rsidRPr="00D46BE9">
        <w:rPr>
          <w:lang w:val="es-BO"/>
        </w:rPr>
        <w:t xml:space="preserve">, que está relacionada con una tasa de inflación baja y estable (véanse Ball et al. 1988; Akerlof et al. 1996; Mishkin, F. y Schmidt-Hebbel 2001; Arestis y Sawyer 2003; Svensson 1997, 1999 y 2001). </w:t>
      </w:r>
    </w:p>
  </w:footnote>
  <w:footnote w:id="2">
    <w:p w14:paraId="3F5C0870" w14:textId="77777777" w:rsidR="00E34B95" w:rsidRDefault="00E34B95" w:rsidP="00B05CD2">
      <w:pPr>
        <w:pStyle w:val="footnotedescription"/>
        <w:spacing w:line="240" w:lineRule="auto"/>
        <w:ind w:left="51" w:right="539"/>
        <w:rPr>
          <w:lang w:val="es-BO"/>
        </w:rPr>
      </w:pPr>
      <w:r>
        <w:rPr>
          <w:rStyle w:val="footnotemark"/>
        </w:rPr>
        <w:footnoteRef/>
      </w:r>
      <w:r>
        <w:rPr>
          <w:lang w:val="es-BO"/>
        </w:rPr>
        <w:t xml:space="preserve"> Debido a que existe esa prima de riesgo, la determinación del tipo de cambio viene dado de la siguiente forma: </w:t>
      </w:r>
    </w:p>
    <w:p w14:paraId="7219AC7C" w14:textId="0D5CFBCE" w:rsidR="00E34B95" w:rsidRPr="00B05CD2" w:rsidRDefault="00E34B95" w:rsidP="00B05CD2">
      <w:pPr>
        <w:pStyle w:val="footnotedescription"/>
        <w:spacing w:line="240" w:lineRule="auto"/>
        <w:ind w:left="51" w:right="539"/>
        <w:rPr>
          <w:lang w:val="es-BO"/>
        </w:rPr>
      </w:pPr>
      <w:r w:rsidRPr="00B05CD2">
        <w:rPr>
          <w:lang w:val="es-BO"/>
        </w:rPr>
        <w:t>e= γ</w:t>
      </w:r>
      <w:r w:rsidRPr="00B05CD2">
        <w:rPr>
          <w:vertAlign w:val="subscript"/>
          <w:lang w:val="es-BO"/>
        </w:rPr>
        <w:t>e</w:t>
      </w:r>
      <w:r w:rsidRPr="00B05CD2">
        <w:rPr>
          <w:lang w:val="es-BO"/>
        </w:rPr>
        <w:t xml:space="preserve"> (i* + δ+ ξ- i + π</w:t>
      </w:r>
      <w:r w:rsidRPr="00B05CD2">
        <w:rPr>
          <w:vertAlign w:val="superscript"/>
          <w:lang w:val="es-BO"/>
        </w:rPr>
        <w:t>e</w:t>
      </w:r>
      <w:r w:rsidRPr="00B05CD2">
        <w:rPr>
          <w:lang w:val="es-BO"/>
        </w:rPr>
        <w:t>) donde π</w:t>
      </w:r>
      <w:r w:rsidRPr="00B05CD2">
        <w:rPr>
          <w:vertAlign w:val="superscript"/>
          <w:lang w:val="es-BO"/>
        </w:rPr>
        <w:t>e</w:t>
      </w:r>
      <w:r>
        <w:rPr>
          <w:lang w:val="es-BO"/>
        </w:rPr>
        <w:t xml:space="preserve"> </w:t>
      </w:r>
      <w:r w:rsidRPr="00B05CD2">
        <w:rPr>
          <w:lang w:val="es-BO"/>
        </w:rPr>
        <w:t>es la inflación esperada, δ denota la tasa de depreciación esperada y γ</w:t>
      </w:r>
      <w:r w:rsidRPr="00B05CD2">
        <w:rPr>
          <w:vertAlign w:val="subscript"/>
          <w:lang w:val="es-BO"/>
        </w:rPr>
        <w:t>e</w:t>
      </w:r>
      <w:r w:rsidRPr="00B05CD2">
        <w:rPr>
          <w:lang w:val="es-BO"/>
        </w:rPr>
        <w:t xml:space="preserve"> es el parámetro que mide la flexibilidad del tipo de cambio</w:t>
      </w:r>
      <w:r>
        <w:rPr>
          <w:lang w:val="es-BO"/>
        </w:rPr>
        <w:t>.</w:t>
      </w:r>
    </w:p>
    <w:p w14:paraId="5456C03A" w14:textId="5539CA44" w:rsidR="00E34B95" w:rsidRPr="00D46BE9" w:rsidRDefault="00E34B95" w:rsidP="00B05CD2">
      <w:pPr>
        <w:pStyle w:val="footnotedescription"/>
        <w:spacing w:line="240" w:lineRule="auto"/>
        <w:ind w:left="51" w:right="539"/>
        <w:rPr>
          <w:lang w:val="es-BO"/>
        </w:rPr>
      </w:pPr>
    </w:p>
  </w:footnote>
  <w:footnote w:id="3">
    <w:p w14:paraId="73391627" w14:textId="17A8759C" w:rsidR="00E34B95" w:rsidRPr="00B05CD2" w:rsidRDefault="00E34B95" w:rsidP="00343D97">
      <w:pPr>
        <w:pStyle w:val="footnotedescription"/>
        <w:spacing w:line="240" w:lineRule="auto"/>
        <w:ind w:left="51" w:right="539"/>
        <w:rPr>
          <w:lang w:val="es-BO"/>
        </w:rPr>
      </w:pPr>
      <w:r>
        <w:rPr>
          <w:rStyle w:val="footnotemark"/>
        </w:rPr>
        <w:footnoteRef/>
      </w:r>
      <w:r>
        <w:rPr>
          <w:lang w:val="es-BO"/>
        </w:rPr>
        <w:t xml:space="preserve"> </w:t>
      </w:r>
      <w:r w:rsidRPr="00343D97">
        <w:rPr>
          <w:szCs w:val="18"/>
          <w:lang w:val="es-BO"/>
        </w:rPr>
        <w:t>Donde r* es la tasa natural de interés.</w:t>
      </w:r>
    </w:p>
    <w:p w14:paraId="7013D744" w14:textId="77777777" w:rsidR="00E34B95" w:rsidRPr="00D46BE9" w:rsidRDefault="00E34B95" w:rsidP="00343D97">
      <w:pPr>
        <w:pStyle w:val="footnotedescription"/>
        <w:spacing w:line="240" w:lineRule="auto"/>
        <w:ind w:left="51" w:right="539"/>
        <w:rPr>
          <w:lang w:val="es-BO"/>
        </w:rPr>
      </w:pPr>
    </w:p>
  </w:footnote>
  <w:footnote w:id="4">
    <w:p w14:paraId="66D42390" w14:textId="77777777" w:rsidR="00E34B95" w:rsidRPr="000F7E2E" w:rsidRDefault="00E34B95" w:rsidP="0064614C">
      <w:pPr>
        <w:pStyle w:val="Textonotapie"/>
        <w:rPr>
          <w:sz w:val="18"/>
          <w:szCs w:val="18"/>
          <w:lang w:val="es-ES_tradnl"/>
        </w:rPr>
      </w:pPr>
      <w:r w:rsidRPr="000F7E2E">
        <w:rPr>
          <w:rStyle w:val="Refdenotaalpie"/>
          <w:rFonts w:eastAsia="Arial"/>
          <w:sz w:val="18"/>
          <w:szCs w:val="18"/>
        </w:rPr>
        <w:footnoteRef/>
      </w:r>
      <w:r w:rsidRPr="000F7E2E">
        <w:rPr>
          <w:sz w:val="18"/>
          <w:szCs w:val="18"/>
        </w:rPr>
        <w:t xml:space="preserve"> El primer trabajo en esta área es de Lee (1991).</w:t>
      </w:r>
    </w:p>
  </w:footnote>
  <w:footnote w:id="5">
    <w:p w14:paraId="73653D33" w14:textId="77777777" w:rsidR="00E34B95" w:rsidRPr="00D46BE9" w:rsidRDefault="00E34B95">
      <w:pPr>
        <w:pStyle w:val="footnotedescription"/>
        <w:spacing w:line="249" w:lineRule="auto"/>
        <w:ind w:right="543"/>
        <w:rPr>
          <w:lang w:val="es-BO"/>
        </w:rPr>
      </w:pPr>
      <w:r>
        <w:rPr>
          <w:rStyle w:val="footnotemark"/>
        </w:rPr>
        <w:footnoteRef/>
      </w:r>
      <w:r w:rsidRPr="00D46BE9">
        <w:rPr>
          <w:lang w:val="es-BO"/>
        </w:rPr>
        <w:t xml:space="preserve"> Los modelos ARIMA son parte de la metodología habitual de series de tiempo y permiten estudiar el comportamiento de una variable aleatoria a través del tiempo, utilizando sólo la información contenida en la serie histórica de la propia variable. La forma genérica de un modelo ARIMA para una variable X se escribe en la terminología habitual de Box y Jenkins. </w:t>
      </w:r>
    </w:p>
    <w:p w14:paraId="0DE9D154" w14:textId="77777777" w:rsidR="00E34B95" w:rsidRPr="00D46BE9" w:rsidRDefault="00E34B95">
      <w:pPr>
        <w:pStyle w:val="footnotedescription"/>
        <w:spacing w:line="259" w:lineRule="auto"/>
        <w:ind w:right="0"/>
        <w:jc w:val="left"/>
        <w:rPr>
          <w:lang w:val="es-BO"/>
        </w:rPr>
      </w:pPr>
      <w:r w:rsidRPr="00D46BE9">
        <w:rPr>
          <w:lang w:val="es-BO"/>
        </w:rPr>
        <w:t xml:space="preserve"> </w:t>
      </w:r>
    </w:p>
  </w:footnote>
  <w:footnote w:id="6">
    <w:p w14:paraId="00A1A4C7" w14:textId="77777777" w:rsidR="00E34B95" w:rsidRDefault="00E34B95" w:rsidP="00C2066D">
      <w:pPr>
        <w:pStyle w:val="Textonotaalfinal"/>
        <w:jc w:val="both"/>
        <w:rPr>
          <w:sz w:val="18"/>
          <w:szCs w:val="18"/>
          <w:lang w:val="es-MX"/>
        </w:rPr>
      </w:pPr>
      <w:r>
        <w:rPr>
          <w:rStyle w:val="Refdenotaalpie"/>
          <w:rFonts w:eastAsia="Arial"/>
          <w:sz w:val="18"/>
          <w:szCs w:val="18"/>
        </w:rPr>
        <w:footnoteRef/>
      </w:r>
      <w:r>
        <w:rPr>
          <w:sz w:val="18"/>
          <w:szCs w:val="18"/>
          <w:lang w:val="es-MX"/>
        </w:rPr>
        <w:t>La variable explicada en todos los modelos del cuadro 2, se refiere a la volatilidad condicional del tipo de cambio estimado con los distintos modelos de las familias ARCH.</w:t>
      </w:r>
    </w:p>
    <w:p w14:paraId="543B1293" w14:textId="77777777" w:rsidR="00E34B95" w:rsidRDefault="00E34B95" w:rsidP="00C2066D">
      <w:pPr>
        <w:pStyle w:val="Textonotapie"/>
        <w:rPr>
          <w:lang w:val="es-MX"/>
        </w:rPr>
      </w:pPr>
    </w:p>
  </w:footnote>
  <w:footnote w:id="7">
    <w:p w14:paraId="4B2FEB2F" w14:textId="46296F8E" w:rsidR="00E34B95" w:rsidRDefault="00E34B95" w:rsidP="00962174">
      <w:pPr>
        <w:pStyle w:val="Textonotaalfinal"/>
        <w:jc w:val="both"/>
        <w:rPr>
          <w:sz w:val="18"/>
          <w:szCs w:val="18"/>
        </w:rPr>
      </w:pPr>
      <w:r w:rsidRPr="00244A2A">
        <w:rPr>
          <w:rStyle w:val="Refdenotaalpie"/>
          <w:rFonts w:eastAsia="Arial"/>
          <w:sz w:val="18"/>
          <w:szCs w:val="18"/>
        </w:rPr>
        <w:footnoteRef/>
      </w:r>
      <w:r w:rsidRPr="00244A2A">
        <w:rPr>
          <w:sz w:val="18"/>
          <w:szCs w:val="18"/>
        </w:rPr>
        <w:t xml:space="preserve"> Con criterios estadísticos no paramétricos nos referimos al criterio de Schwarz y Akaike, entre otros los cuales son criterios que nos permiten seleccionar entre dos o más modelos. En el caso de los modelos ARCH se estimaron modelos ARCH (1), ARCH (2), ARCH (3) y ARCH (4) y derivado de los resultados se seleccionó el modelo ARCH (1).</w:t>
      </w:r>
    </w:p>
    <w:p w14:paraId="085E36E1" w14:textId="77777777" w:rsidR="00E34B95" w:rsidRDefault="00E34B95" w:rsidP="00962174">
      <w:pPr>
        <w:pStyle w:val="Textonotapie"/>
        <w:jc w:val="both"/>
        <w:rPr>
          <w:sz w:val="18"/>
          <w:szCs w:val="18"/>
        </w:rPr>
      </w:pPr>
    </w:p>
  </w:footnote>
  <w:footnote w:id="8">
    <w:p w14:paraId="216C102F" w14:textId="7591AF0B" w:rsidR="00E34B95" w:rsidRDefault="00E34B95" w:rsidP="00962174">
      <w:pPr>
        <w:pStyle w:val="Textonotapie"/>
        <w:jc w:val="both"/>
        <w:rPr>
          <w:sz w:val="18"/>
          <w:szCs w:val="18"/>
          <w:lang w:val="es-ES_tradnl"/>
        </w:rPr>
      </w:pPr>
      <w:r>
        <w:rPr>
          <w:rStyle w:val="Refdenotaalpie"/>
          <w:rFonts w:eastAsia="Arial"/>
          <w:sz w:val="18"/>
          <w:szCs w:val="18"/>
        </w:rPr>
        <w:footnoteRef/>
      </w:r>
      <w:r>
        <w:rPr>
          <w:sz w:val="18"/>
          <w:szCs w:val="18"/>
        </w:rPr>
        <w:t xml:space="preserve"> En el caso de México el </w:t>
      </w:r>
      <w:r>
        <w:rPr>
          <w:sz w:val="18"/>
          <w:szCs w:val="18"/>
          <w:lang w:val="es-MX"/>
        </w:rPr>
        <w:t xml:space="preserve">componente </w:t>
      </w:r>
      <w:r w:rsidRPr="00AA2E43">
        <w:rPr>
          <w:i/>
          <w:sz w:val="18"/>
          <w:szCs w:val="18"/>
          <w:lang w:val="es-MX"/>
        </w:rPr>
        <w:t>Threshold</w:t>
      </w:r>
      <w:r>
        <w:rPr>
          <w:sz w:val="18"/>
          <w:szCs w:val="18"/>
          <w:lang w:val="es-MX"/>
        </w:rPr>
        <w:t xml:space="preserve"> </w:t>
      </w:r>
      <w:r>
        <w:rPr>
          <w:sz w:val="18"/>
          <w:szCs w:val="18"/>
        </w:rPr>
        <w:t>es significativo ya que tiene un estadístico Z mayor a dos en valor absoluto y no así en Brasil.</w:t>
      </w:r>
    </w:p>
  </w:footnote>
  <w:footnote w:id="9">
    <w:p w14:paraId="262ECBE1" w14:textId="77777777" w:rsidR="00E34B95" w:rsidRPr="00D46BE9" w:rsidRDefault="00E34B95">
      <w:pPr>
        <w:pStyle w:val="footnotedescription"/>
        <w:spacing w:after="13" w:line="259" w:lineRule="auto"/>
        <w:ind w:right="0"/>
        <w:jc w:val="left"/>
        <w:rPr>
          <w:lang w:val="es-BO"/>
        </w:rPr>
      </w:pPr>
      <w:r>
        <w:rPr>
          <w:rStyle w:val="footnotemark"/>
        </w:rPr>
        <w:footnoteRef/>
      </w:r>
      <w:r w:rsidRPr="00D46BE9">
        <w:rPr>
          <w:lang w:val="es-BO"/>
        </w:rPr>
        <w:t xml:space="preserve"> A partir de 1993 se quitaron tres ceros a la moneda mexicana y se le dominó nuevos pesos (Banxico, 1993). </w:t>
      </w:r>
    </w:p>
    <w:p w14:paraId="6C503347" w14:textId="77777777" w:rsidR="00E34B95" w:rsidRPr="00D46BE9" w:rsidRDefault="00E34B95">
      <w:pPr>
        <w:pStyle w:val="footnotedescription"/>
        <w:spacing w:line="259" w:lineRule="auto"/>
        <w:ind w:right="0"/>
        <w:jc w:val="left"/>
        <w:rPr>
          <w:lang w:val="es-BO"/>
        </w:rPr>
      </w:pPr>
      <w:r w:rsidRPr="00D46BE9">
        <w:rPr>
          <w:sz w:val="20"/>
          <w:lang w:val="es-BO"/>
        </w:rPr>
        <w:t xml:space="preserve"> </w:t>
      </w:r>
    </w:p>
  </w:footnote>
  <w:footnote w:id="10">
    <w:p w14:paraId="5BCC2201" w14:textId="77777777" w:rsidR="00E34B95" w:rsidRPr="00D46BE9" w:rsidRDefault="00E34B95" w:rsidP="00686B5C">
      <w:pPr>
        <w:pStyle w:val="footnotedescription"/>
        <w:spacing w:line="240" w:lineRule="auto"/>
        <w:ind w:left="51" w:right="539"/>
        <w:rPr>
          <w:lang w:val="es-BO"/>
        </w:rPr>
      </w:pPr>
      <w:r>
        <w:rPr>
          <w:rStyle w:val="footnotemark"/>
        </w:rPr>
        <w:footnoteRef/>
      </w:r>
      <w:r w:rsidRPr="00D46BE9">
        <w:rPr>
          <w:lang w:val="es-BO"/>
        </w:rPr>
        <w:t xml:space="preserve"> Para septiembre de 2008 el peso mexicano frente al dólar americano muestra alta volatilidad, cuando se cotizó en 10.9814 pesos por dólar, que representa una devaluación de 6.77% respecto al mes anterior, en diciembre se incrementa a 14.3097 pesos, hasta alcanzar 15.365 pesos por dólar el 3 de marzo de 2009, con una devaluación de 40.52% con respecto al mismo mes del año anterior (Banxico, 2008). </w:t>
      </w:r>
    </w:p>
  </w:footnote>
  <w:footnote w:id="11">
    <w:p w14:paraId="414159E7" w14:textId="77777777" w:rsidR="00E34B95" w:rsidRPr="00D46BE9" w:rsidRDefault="00E34B95">
      <w:pPr>
        <w:pStyle w:val="footnotedescription"/>
        <w:spacing w:line="259" w:lineRule="auto"/>
        <w:ind w:right="0"/>
        <w:jc w:val="left"/>
        <w:rPr>
          <w:lang w:val="es-BO"/>
        </w:rPr>
      </w:pPr>
      <w:r>
        <w:rPr>
          <w:rStyle w:val="footnotemark"/>
        </w:rPr>
        <w:footnoteRef/>
      </w:r>
      <w:r w:rsidRPr="00D46BE9">
        <w:rPr>
          <w:lang w:val="es-BO"/>
        </w:rPr>
        <w:t xml:space="preserve"> Debido a los mejores resultados obtenidos en los cuadros 3 y 4, respectivamente. </w:t>
      </w:r>
    </w:p>
  </w:footnote>
  <w:footnote w:id="12">
    <w:p w14:paraId="0322CF15" w14:textId="13145718" w:rsidR="00E34B95" w:rsidRDefault="00E34B95" w:rsidP="008A4B9A">
      <w:pPr>
        <w:pStyle w:val="Textonotapie"/>
        <w:jc w:val="both"/>
        <w:rPr>
          <w:sz w:val="18"/>
          <w:szCs w:val="18"/>
          <w:lang w:val="es-ES_tradnl"/>
        </w:rPr>
      </w:pPr>
      <w:r>
        <w:rPr>
          <w:rStyle w:val="Refdenotaalpie"/>
          <w:rFonts w:eastAsia="Arial"/>
          <w:sz w:val="18"/>
          <w:szCs w:val="18"/>
        </w:rPr>
        <w:footnoteRef/>
      </w:r>
      <w:r>
        <w:rPr>
          <w:sz w:val="18"/>
          <w:szCs w:val="18"/>
          <w:lang w:val="es-ES_tradnl"/>
        </w:rPr>
        <w:t xml:space="preserve"> Estado 0 se refiere al régimen de alta volatilidad y estado 1 al régimen de baja volatilidad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5A0A" w14:textId="77777777" w:rsidR="00E34B95" w:rsidRDefault="00E34B95">
    <w:pPr>
      <w:pStyle w:val="Encabezado"/>
    </w:pPr>
  </w:p>
  <w:p w14:paraId="3C6E7B0D" w14:textId="77777777" w:rsidR="00E34B95" w:rsidRDefault="00E34B9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1BF5" w14:textId="77777777" w:rsidR="00E34B95" w:rsidRDefault="00E34B95">
    <w:pPr>
      <w:pStyle w:val="Encabezado"/>
    </w:pPr>
  </w:p>
  <w:p w14:paraId="038D74B4" w14:textId="77777777" w:rsidR="00E34B95" w:rsidRDefault="00E34B9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35A00" w14:textId="77777777" w:rsidR="00E34B95" w:rsidRDefault="00E34B95">
    <w:pPr>
      <w:pStyle w:val="Encabezado"/>
    </w:pPr>
  </w:p>
  <w:p w14:paraId="3C24E88C" w14:textId="77777777" w:rsidR="00E34B95" w:rsidRDefault="00E34B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A26"/>
    <w:multiLevelType w:val="hybridMultilevel"/>
    <w:tmpl w:val="9250842E"/>
    <w:lvl w:ilvl="0" w:tplc="42C29A8E">
      <w:start w:val="1"/>
      <w:numFmt w:val="bullet"/>
      <w:lvlText w:val="•"/>
      <w:lvlJc w:val="left"/>
      <w:pPr>
        <w:ind w:left="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4A2B0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58B64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DA34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12B80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A64B8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239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2A0B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D01F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AD22AF"/>
    <w:multiLevelType w:val="hybridMultilevel"/>
    <w:tmpl w:val="6CDA4ED0"/>
    <w:lvl w:ilvl="0" w:tplc="0BBC6A16">
      <w:start w:val="1"/>
      <w:numFmt w:val="lowerLetter"/>
      <w:lvlText w:val="%1)"/>
      <w:lvlJc w:val="left"/>
      <w:pPr>
        <w:ind w:left="31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AC26E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2DA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C44B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C8A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AE66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6892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27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BE6B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343EA8"/>
    <w:multiLevelType w:val="hybridMultilevel"/>
    <w:tmpl w:val="D49602E0"/>
    <w:lvl w:ilvl="0" w:tplc="9B744B62">
      <w:start w:val="1"/>
      <w:numFmt w:val="bullet"/>
      <w:lvlText w:val="-"/>
      <w:lvlJc w:val="left"/>
      <w:pPr>
        <w:ind w:left="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220E5FA">
      <w:start w:val="1"/>
      <w:numFmt w:val="bullet"/>
      <w:lvlText w:val="o"/>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77A9554">
      <w:start w:val="1"/>
      <w:numFmt w:val="bullet"/>
      <w:lvlText w:val="▪"/>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F90328C">
      <w:start w:val="1"/>
      <w:numFmt w:val="bullet"/>
      <w:lvlText w:val="•"/>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6EA8B00">
      <w:start w:val="1"/>
      <w:numFmt w:val="bullet"/>
      <w:lvlText w:val="o"/>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B7A7DAA">
      <w:start w:val="1"/>
      <w:numFmt w:val="bullet"/>
      <w:lvlText w:val="▪"/>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8DCC1EC">
      <w:start w:val="1"/>
      <w:numFmt w:val="bullet"/>
      <w:lvlText w:val="•"/>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47486F6">
      <w:start w:val="1"/>
      <w:numFmt w:val="bullet"/>
      <w:lvlText w:val="o"/>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68AF8D4">
      <w:start w:val="1"/>
      <w:numFmt w:val="bullet"/>
      <w:lvlText w:val="▪"/>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0B96041"/>
    <w:multiLevelType w:val="hybridMultilevel"/>
    <w:tmpl w:val="5D94792C"/>
    <w:lvl w:ilvl="0" w:tplc="3E7A42E2">
      <w:start w:val="1"/>
      <w:numFmt w:val="lowerLetter"/>
      <w:lvlText w:val="%1."/>
      <w:lvlJc w:val="left"/>
      <w:pPr>
        <w:ind w:left="410" w:hanging="360"/>
      </w:pPr>
      <w:rPr>
        <w:rFonts w:hint="default"/>
      </w:rPr>
    </w:lvl>
    <w:lvl w:ilvl="1" w:tplc="04090019">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 w15:restartNumberingAfterBreak="0">
    <w:nsid w:val="4101031F"/>
    <w:multiLevelType w:val="hybridMultilevel"/>
    <w:tmpl w:val="CFFECAA0"/>
    <w:lvl w:ilvl="0" w:tplc="340A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42F15470"/>
    <w:multiLevelType w:val="hybridMultilevel"/>
    <w:tmpl w:val="44B05F7E"/>
    <w:lvl w:ilvl="0" w:tplc="340A0019">
      <w:start w:val="1"/>
      <w:numFmt w:val="low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6" w15:restartNumberingAfterBreak="0">
    <w:nsid w:val="478749C0"/>
    <w:multiLevelType w:val="multilevel"/>
    <w:tmpl w:val="00283644"/>
    <w:lvl w:ilvl="0">
      <w:start w:val="3"/>
      <w:numFmt w:val="decimal"/>
      <w:lvlText w:val="%1"/>
      <w:lvlJc w:val="left"/>
      <w:pPr>
        <w:ind w:left="480" w:hanging="480"/>
      </w:pPr>
      <w:rPr>
        <w:rFonts w:hint="default"/>
      </w:rPr>
    </w:lvl>
    <w:lvl w:ilvl="1">
      <w:start w:val="3"/>
      <w:numFmt w:val="decimal"/>
      <w:lvlText w:val="%1.%2"/>
      <w:lvlJc w:val="left"/>
      <w:pPr>
        <w:ind w:left="589" w:hanging="480"/>
      </w:pPr>
      <w:rPr>
        <w:rFonts w:hint="default"/>
      </w:rPr>
    </w:lvl>
    <w:lvl w:ilvl="2">
      <w:start w:val="1"/>
      <w:numFmt w:val="decimal"/>
      <w:lvlText w:val="%1.%2.%3"/>
      <w:lvlJc w:val="left"/>
      <w:pPr>
        <w:ind w:left="938" w:hanging="720"/>
      </w:pPr>
      <w:rPr>
        <w:rFonts w:hint="default"/>
      </w:rPr>
    </w:lvl>
    <w:lvl w:ilvl="3">
      <w:start w:val="1"/>
      <w:numFmt w:val="decimal"/>
      <w:lvlText w:val="%1.%2.%3.%4"/>
      <w:lvlJc w:val="left"/>
      <w:pPr>
        <w:ind w:left="1047" w:hanging="720"/>
      </w:pPr>
      <w:rPr>
        <w:rFonts w:hint="default"/>
      </w:rPr>
    </w:lvl>
    <w:lvl w:ilvl="4">
      <w:start w:val="1"/>
      <w:numFmt w:val="decimal"/>
      <w:lvlText w:val="%1.%2.%3.%4.%5"/>
      <w:lvlJc w:val="left"/>
      <w:pPr>
        <w:ind w:left="1516" w:hanging="1080"/>
      </w:pPr>
      <w:rPr>
        <w:rFonts w:hint="default"/>
      </w:rPr>
    </w:lvl>
    <w:lvl w:ilvl="5">
      <w:start w:val="1"/>
      <w:numFmt w:val="decimal"/>
      <w:lvlText w:val="%1.%2.%3.%4.%5.%6"/>
      <w:lvlJc w:val="left"/>
      <w:pPr>
        <w:ind w:left="1625" w:hanging="1080"/>
      </w:pPr>
      <w:rPr>
        <w:rFonts w:hint="default"/>
      </w:rPr>
    </w:lvl>
    <w:lvl w:ilvl="6">
      <w:start w:val="1"/>
      <w:numFmt w:val="decimal"/>
      <w:lvlText w:val="%1.%2.%3.%4.%5.%6.%7"/>
      <w:lvlJc w:val="left"/>
      <w:pPr>
        <w:ind w:left="2094" w:hanging="1440"/>
      </w:pPr>
      <w:rPr>
        <w:rFonts w:hint="default"/>
      </w:rPr>
    </w:lvl>
    <w:lvl w:ilvl="7">
      <w:start w:val="1"/>
      <w:numFmt w:val="decimal"/>
      <w:lvlText w:val="%1.%2.%3.%4.%5.%6.%7.%8"/>
      <w:lvlJc w:val="left"/>
      <w:pPr>
        <w:ind w:left="2203" w:hanging="1440"/>
      </w:pPr>
      <w:rPr>
        <w:rFonts w:hint="default"/>
      </w:rPr>
    </w:lvl>
    <w:lvl w:ilvl="8">
      <w:start w:val="1"/>
      <w:numFmt w:val="decimal"/>
      <w:lvlText w:val="%1.%2.%3.%4.%5.%6.%7.%8.%9"/>
      <w:lvlJc w:val="left"/>
      <w:pPr>
        <w:ind w:left="2672" w:hanging="1800"/>
      </w:pPr>
      <w:rPr>
        <w:rFonts w:hint="default"/>
      </w:rPr>
    </w:lvl>
  </w:abstractNum>
  <w:abstractNum w:abstractNumId="7" w15:restartNumberingAfterBreak="0">
    <w:nsid w:val="5511408E"/>
    <w:multiLevelType w:val="hybridMultilevel"/>
    <w:tmpl w:val="A078BB80"/>
    <w:lvl w:ilvl="0" w:tplc="3F481EBE">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8" w15:restartNumberingAfterBreak="0">
    <w:nsid w:val="692B51F3"/>
    <w:multiLevelType w:val="multilevel"/>
    <w:tmpl w:val="57C4602E"/>
    <w:lvl w:ilvl="0">
      <w:start w:val="3"/>
      <w:numFmt w:val="decimal"/>
      <w:lvlText w:val="%1"/>
      <w:lvlJc w:val="left"/>
      <w:pPr>
        <w:ind w:left="360" w:hanging="360"/>
      </w:pPr>
      <w:rPr>
        <w:rFonts w:hint="default"/>
      </w:rPr>
    </w:lvl>
    <w:lvl w:ilvl="1">
      <w:start w:val="5"/>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9" w15:restartNumberingAfterBreak="0">
    <w:nsid w:val="7DEA4E74"/>
    <w:multiLevelType w:val="hybridMultilevel"/>
    <w:tmpl w:val="97D404C6"/>
    <w:lvl w:ilvl="0" w:tplc="8F1EF948">
      <w:start w:val="1"/>
      <w:numFmt w:val="lowerLetter"/>
      <w:lvlText w:val="%1)"/>
      <w:lvlJc w:val="left"/>
      <w:pPr>
        <w:ind w:left="31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724AC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AAF5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FC70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83F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8E61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9490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227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027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294806"/>
    <w:multiLevelType w:val="hybridMultilevel"/>
    <w:tmpl w:val="87BA6218"/>
    <w:lvl w:ilvl="0" w:tplc="A694F420">
      <w:start w:val="1"/>
      <w:numFmt w:val="bullet"/>
      <w:lvlText w:val="•"/>
      <w:lvlJc w:val="left"/>
      <w:pPr>
        <w:ind w:left="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8A9F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D089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653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216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727F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8898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FA85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E8D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9"/>
  </w:num>
  <w:num w:numId="4">
    <w:abstractNumId w:val="2"/>
  </w:num>
  <w:num w:numId="5">
    <w:abstractNumId w:val="7"/>
  </w:num>
  <w:num w:numId="6">
    <w:abstractNumId w:val="4"/>
  </w:num>
  <w:num w:numId="7">
    <w:abstractNumId w:val="3"/>
  </w:num>
  <w:num w:numId="8">
    <w:abstractNumId w:val="5"/>
  </w:num>
  <w:num w:numId="9">
    <w:abstractNumId w:val="6"/>
  </w:num>
  <w:num w:numId="10">
    <w:abstractNumId w:val="10"/>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790"/>
    <w:rsid w:val="00000781"/>
    <w:rsid w:val="00000902"/>
    <w:rsid w:val="00000B0F"/>
    <w:rsid w:val="00000D98"/>
    <w:rsid w:val="0000196F"/>
    <w:rsid w:val="00001D53"/>
    <w:rsid w:val="000025A7"/>
    <w:rsid w:val="00002DF4"/>
    <w:rsid w:val="000033B6"/>
    <w:rsid w:val="00003CA6"/>
    <w:rsid w:val="000041B4"/>
    <w:rsid w:val="000045D0"/>
    <w:rsid w:val="0000474C"/>
    <w:rsid w:val="00004A55"/>
    <w:rsid w:val="0000505A"/>
    <w:rsid w:val="00005517"/>
    <w:rsid w:val="00005548"/>
    <w:rsid w:val="000055B8"/>
    <w:rsid w:val="00005F92"/>
    <w:rsid w:val="0001021D"/>
    <w:rsid w:val="000108BD"/>
    <w:rsid w:val="00010B0D"/>
    <w:rsid w:val="00010E21"/>
    <w:rsid w:val="000117F6"/>
    <w:rsid w:val="00012299"/>
    <w:rsid w:val="00013183"/>
    <w:rsid w:val="00013272"/>
    <w:rsid w:val="00014118"/>
    <w:rsid w:val="0001471F"/>
    <w:rsid w:val="000149A3"/>
    <w:rsid w:val="0001536F"/>
    <w:rsid w:val="00015EF8"/>
    <w:rsid w:val="00017321"/>
    <w:rsid w:val="00017346"/>
    <w:rsid w:val="00017492"/>
    <w:rsid w:val="000178EF"/>
    <w:rsid w:val="00017CC6"/>
    <w:rsid w:val="00017CF7"/>
    <w:rsid w:val="00017F79"/>
    <w:rsid w:val="00020569"/>
    <w:rsid w:val="00020B7A"/>
    <w:rsid w:val="0002165A"/>
    <w:rsid w:val="000218E6"/>
    <w:rsid w:val="00021ED2"/>
    <w:rsid w:val="000220EC"/>
    <w:rsid w:val="00022516"/>
    <w:rsid w:val="000228EA"/>
    <w:rsid w:val="00023C84"/>
    <w:rsid w:val="00024D18"/>
    <w:rsid w:val="000254B6"/>
    <w:rsid w:val="000255B0"/>
    <w:rsid w:val="00025853"/>
    <w:rsid w:val="00025EEB"/>
    <w:rsid w:val="000262D9"/>
    <w:rsid w:val="0002647E"/>
    <w:rsid w:val="000264F2"/>
    <w:rsid w:val="00030AF6"/>
    <w:rsid w:val="00030C79"/>
    <w:rsid w:val="000317B5"/>
    <w:rsid w:val="00031ABE"/>
    <w:rsid w:val="000322F9"/>
    <w:rsid w:val="000323EA"/>
    <w:rsid w:val="00032913"/>
    <w:rsid w:val="00033DA0"/>
    <w:rsid w:val="000342A7"/>
    <w:rsid w:val="0003437A"/>
    <w:rsid w:val="00034C3E"/>
    <w:rsid w:val="00036087"/>
    <w:rsid w:val="000366A7"/>
    <w:rsid w:val="0004003B"/>
    <w:rsid w:val="000403B7"/>
    <w:rsid w:val="000405E3"/>
    <w:rsid w:val="0004083F"/>
    <w:rsid w:val="00042077"/>
    <w:rsid w:val="00042452"/>
    <w:rsid w:val="00043038"/>
    <w:rsid w:val="0004314A"/>
    <w:rsid w:val="0004373B"/>
    <w:rsid w:val="000438D0"/>
    <w:rsid w:val="00043C36"/>
    <w:rsid w:val="00044621"/>
    <w:rsid w:val="000468FD"/>
    <w:rsid w:val="00047396"/>
    <w:rsid w:val="00047CFE"/>
    <w:rsid w:val="00047D92"/>
    <w:rsid w:val="00050B8E"/>
    <w:rsid w:val="00050F2E"/>
    <w:rsid w:val="00051C16"/>
    <w:rsid w:val="00051CF8"/>
    <w:rsid w:val="00052175"/>
    <w:rsid w:val="00052977"/>
    <w:rsid w:val="00053D68"/>
    <w:rsid w:val="000541C1"/>
    <w:rsid w:val="000548FF"/>
    <w:rsid w:val="00054B26"/>
    <w:rsid w:val="000550EA"/>
    <w:rsid w:val="000551D8"/>
    <w:rsid w:val="00055635"/>
    <w:rsid w:val="00055AF6"/>
    <w:rsid w:val="00055F7A"/>
    <w:rsid w:val="00056187"/>
    <w:rsid w:val="000569E1"/>
    <w:rsid w:val="000600EB"/>
    <w:rsid w:val="00060142"/>
    <w:rsid w:val="00060AC6"/>
    <w:rsid w:val="00062C26"/>
    <w:rsid w:val="000639D1"/>
    <w:rsid w:val="000658C4"/>
    <w:rsid w:val="000661FD"/>
    <w:rsid w:val="00066250"/>
    <w:rsid w:val="00066885"/>
    <w:rsid w:val="00066919"/>
    <w:rsid w:val="00066990"/>
    <w:rsid w:val="00066ABA"/>
    <w:rsid w:val="000672BB"/>
    <w:rsid w:val="000672BE"/>
    <w:rsid w:val="000709BF"/>
    <w:rsid w:val="00070E24"/>
    <w:rsid w:val="000712BE"/>
    <w:rsid w:val="0007202F"/>
    <w:rsid w:val="000721CF"/>
    <w:rsid w:val="00072839"/>
    <w:rsid w:val="00072E2B"/>
    <w:rsid w:val="00072FC7"/>
    <w:rsid w:val="000731E7"/>
    <w:rsid w:val="0007392C"/>
    <w:rsid w:val="00073EB4"/>
    <w:rsid w:val="000748AB"/>
    <w:rsid w:val="00075979"/>
    <w:rsid w:val="00075C04"/>
    <w:rsid w:val="00076522"/>
    <w:rsid w:val="000769F4"/>
    <w:rsid w:val="000771A7"/>
    <w:rsid w:val="000778A6"/>
    <w:rsid w:val="00080944"/>
    <w:rsid w:val="00080DEB"/>
    <w:rsid w:val="00081DD5"/>
    <w:rsid w:val="00082466"/>
    <w:rsid w:val="0008255E"/>
    <w:rsid w:val="00082793"/>
    <w:rsid w:val="00083395"/>
    <w:rsid w:val="00083D0C"/>
    <w:rsid w:val="00083E07"/>
    <w:rsid w:val="00084B5C"/>
    <w:rsid w:val="00084C20"/>
    <w:rsid w:val="0008510E"/>
    <w:rsid w:val="0008578E"/>
    <w:rsid w:val="000857A4"/>
    <w:rsid w:val="00085B7C"/>
    <w:rsid w:val="00085C49"/>
    <w:rsid w:val="00085E97"/>
    <w:rsid w:val="000867F7"/>
    <w:rsid w:val="0008756A"/>
    <w:rsid w:val="00087906"/>
    <w:rsid w:val="00087ACC"/>
    <w:rsid w:val="00090516"/>
    <w:rsid w:val="00090797"/>
    <w:rsid w:val="00090BA3"/>
    <w:rsid w:val="00090DD3"/>
    <w:rsid w:val="000911E7"/>
    <w:rsid w:val="000915B1"/>
    <w:rsid w:val="0009165F"/>
    <w:rsid w:val="00091966"/>
    <w:rsid w:val="000923C9"/>
    <w:rsid w:val="000924A6"/>
    <w:rsid w:val="00092518"/>
    <w:rsid w:val="0009332F"/>
    <w:rsid w:val="00094C2E"/>
    <w:rsid w:val="00094EC8"/>
    <w:rsid w:val="00094FE2"/>
    <w:rsid w:val="00095E12"/>
    <w:rsid w:val="00096792"/>
    <w:rsid w:val="00096C84"/>
    <w:rsid w:val="00097260"/>
    <w:rsid w:val="0009794B"/>
    <w:rsid w:val="00097DE6"/>
    <w:rsid w:val="000A1033"/>
    <w:rsid w:val="000A15F2"/>
    <w:rsid w:val="000A1700"/>
    <w:rsid w:val="000A2C5B"/>
    <w:rsid w:val="000A2DE7"/>
    <w:rsid w:val="000A3BA4"/>
    <w:rsid w:val="000A4009"/>
    <w:rsid w:val="000A47BF"/>
    <w:rsid w:val="000A4D98"/>
    <w:rsid w:val="000A55D0"/>
    <w:rsid w:val="000A58C2"/>
    <w:rsid w:val="000A5FAA"/>
    <w:rsid w:val="000A6241"/>
    <w:rsid w:val="000A63E1"/>
    <w:rsid w:val="000A6F84"/>
    <w:rsid w:val="000A7254"/>
    <w:rsid w:val="000A73E2"/>
    <w:rsid w:val="000B03BA"/>
    <w:rsid w:val="000B0609"/>
    <w:rsid w:val="000B069F"/>
    <w:rsid w:val="000B07B4"/>
    <w:rsid w:val="000B0CE4"/>
    <w:rsid w:val="000B0DD2"/>
    <w:rsid w:val="000B1427"/>
    <w:rsid w:val="000B18BB"/>
    <w:rsid w:val="000B19C4"/>
    <w:rsid w:val="000B2144"/>
    <w:rsid w:val="000B2D4B"/>
    <w:rsid w:val="000B2FAE"/>
    <w:rsid w:val="000B4634"/>
    <w:rsid w:val="000B5416"/>
    <w:rsid w:val="000B57F4"/>
    <w:rsid w:val="000B5807"/>
    <w:rsid w:val="000B5D58"/>
    <w:rsid w:val="000B6013"/>
    <w:rsid w:val="000B6665"/>
    <w:rsid w:val="000B6AF9"/>
    <w:rsid w:val="000B7674"/>
    <w:rsid w:val="000C04CC"/>
    <w:rsid w:val="000C07FA"/>
    <w:rsid w:val="000C0EC2"/>
    <w:rsid w:val="000C1B66"/>
    <w:rsid w:val="000C1C43"/>
    <w:rsid w:val="000C1EA1"/>
    <w:rsid w:val="000C2703"/>
    <w:rsid w:val="000C275D"/>
    <w:rsid w:val="000C285F"/>
    <w:rsid w:val="000C3515"/>
    <w:rsid w:val="000C4C84"/>
    <w:rsid w:val="000C4F7C"/>
    <w:rsid w:val="000C5688"/>
    <w:rsid w:val="000C5725"/>
    <w:rsid w:val="000C59AF"/>
    <w:rsid w:val="000C6871"/>
    <w:rsid w:val="000C6B17"/>
    <w:rsid w:val="000C6DAD"/>
    <w:rsid w:val="000C6F76"/>
    <w:rsid w:val="000C7475"/>
    <w:rsid w:val="000C7E6D"/>
    <w:rsid w:val="000C7E73"/>
    <w:rsid w:val="000D0CC3"/>
    <w:rsid w:val="000D1310"/>
    <w:rsid w:val="000D24C8"/>
    <w:rsid w:val="000D2754"/>
    <w:rsid w:val="000D344C"/>
    <w:rsid w:val="000D3C8B"/>
    <w:rsid w:val="000D4174"/>
    <w:rsid w:val="000D52DE"/>
    <w:rsid w:val="000D5D7F"/>
    <w:rsid w:val="000D6207"/>
    <w:rsid w:val="000E1DD9"/>
    <w:rsid w:val="000E20A3"/>
    <w:rsid w:val="000E22BE"/>
    <w:rsid w:val="000E23FB"/>
    <w:rsid w:val="000E30EF"/>
    <w:rsid w:val="000E3463"/>
    <w:rsid w:val="000E36CD"/>
    <w:rsid w:val="000E3FC1"/>
    <w:rsid w:val="000E466A"/>
    <w:rsid w:val="000E4C88"/>
    <w:rsid w:val="000E4CB0"/>
    <w:rsid w:val="000E5CB4"/>
    <w:rsid w:val="000E60AE"/>
    <w:rsid w:val="000E6155"/>
    <w:rsid w:val="000E6E10"/>
    <w:rsid w:val="000E785B"/>
    <w:rsid w:val="000E7886"/>
    <w:rsid w:val="000E7E00"/>
    <w:rsid w:val="000E7FEA"/>
    <w:rsid w:val="000F1464"/>
    <w:rsid w:val="000F165E"/>
    <w:rsid w:val="000F1801"/>
    <w:rsid w:val="000F2898"/>
    <w:rsid w:val="000F2D27"/>
    <w:rsid w:val="000F2F19"/>
    <w:rsid w:val="000F3298"/>
    <w:rsid w:val="000F3420"/>
    <w:rsid w:val="000F36C3"/>
    <w:rsid w:val="000F3953"/>
    <w:rsid w:val="000F42B3"/>
    <w:rsid w:val="000F4C02"/>
    <w:rsid w:val="000F5584"/>
    <w:rsid w:val="000F56C9"/>
    <w:rsid w:val="000F6273"/>
    <w:rsid w:val="000F6399"/>
    <w:rsid w:val="000F63EF"/>
    <w:rsid w:val="000F675E"/>
    <w:rsid w:val="000F6E70"/>
    <w:rsid w:val="000F7289"/>
    <w:rsid w:val="000F76FE"/>
    <w:rsid w:val="000F7B39"/>
    <w:rsid w:val="0010136D"/>
    <w:rsid w:val="0010208E"/>
    <w:rsid w:val="001023CE"/>
    <w:rsid w:val="00102809"/>
    <w:rsid w:val="00102C1B"/>
    <w:rsid w:val="001030CA"/>
    <w:rsid w:val="001030FE"/>
    <w:rsid w:val="0010334D"/>
    <w:rsid w:val="001033FD"/>
    <w:rsid w:val="00103A2E"/>
    <w:rsid w:val="00105BBD"/>
    <w:rsid w:val="00106585"/>
    <w:rsid w:val="00106DD9"/>
    <w:rsid w:val="00106FC3"/>
    <w:rsid w:val="0010762E"/>
    <w:rsid w:val="00107D69"/>
    <w:rsid w:val="001115E6"/>
    <w:rsid w:val="00111AE3"/>
    <w:rsid w:val="00111BBC"/>
    <w:rsid w:val="00112629"/>
    <w:rsid w:val="00112669"/>
    <w:rsid w:val="001131F5"/>
    <w:rsid w:val="00113237"/>
    <w:rsid w:val="001135C5"/>
    <w:rsid w:val="00114518"/>
    <w:rsid w:val="00114FED"/>
    <w:rsid w:val="001179A9"/>
    <w:rsid w:val="001208BD"/>
    <w:rsid w:val="001209D7"/>
    <w:rsid w:val="00121308"/>
    <w:rsid w:val="001215E6"/>
    <w:rsid w:val="00121643"/>
    <w:rsid w:val="001216FF"/>
    <w:rsid w:val="0012181A"/>
    <w:rsid w:val="00121D33"/>
    <w:rsid w:val="00122D8D"/>
    <w:rsid w:val="00122E31"/>
    <w:rsid w:val="001231D4"/>
    <w:rsid w:val="00123AB1"/>
    <w:rsid w:val="00124F80"/>
    <w:rsid w:val="0012505E"/>
    <w:rsid w:val="00126354"/>
    <w:rsid w:val="001264CB"/>
    <w:rsid w:val="00126604"/>
    <w:rsid w:val="00126FC5"/>
    <w:rsid w:val="00127810"/>
    <w:rsid w:val="001301B1"/>
    <w:rsid w:val="0013057C"/>
    <w:rsid w:val="0013179F"/>
    <w:rsid w:val="0013192B"/>
    <w:rsid w:val="00132885"/>
    <w:rsid w:val="001328FF"/>
    <w:rsid w:val="00132A65"/>
    <w:rsid w:val="00133ED0"/>
    <w:rsid w:val="00134AD0"/>
    <w:rsid w:val="00135D3F"/>
    <w:rsid w:val="00135E15"/>
    <w:rsid w:val="00135F08"/>
    <w:rsid w:val="00135F51"/>
    <w:rsid w:val="001364DD"/>
    <w:rsid w:val="0013686D"/>
    <w:rsid w:val="00136EA9"/>
    <w:rsid w:val="00137333"/>
    <w:rsid w:val="0013733A"/>
    <w:rsid w:val="00137C4D"/>
    <w:rsid w:val="00140A2A"/>
    <w:rsid w:val="00140DCE"/>
    <w:rsid w:val="00141A1D"/>
    <w:rsid w:val="00142A1E"/>
    <w:rsid w:val="00142CB8"/>
    <w:rsid w:val="00143C46"/>
    <w:rsid w:val="00143D19"/>
    <w:rsid w:val="0014512C"/>
    <w:rsid w:val="00145E85"/>
    <w:rsid w:val="0014648F"/>
    <w:rsid w:val="001465B9"/>
    <w:rsid w:val="001468E8"/>
    <w:rsid w:val="001472F8"/>
    <w:rsid w:val="00147ADF"/>
    <w:rsid w:val="00147B6E"/>
    <w:rsid w:val="001504C0"/>
    <w:rsid w:val="0015082C"/>
    <w:rsid w:val="001514E0"/>
    <w:rsid w:val="0015159C"/>
    <w:rsid w:val="00151BB8"/>
    <w:rsid w:val="00151F98"/>
    <w:rsid w:val="0015244C"/>
    <w:rsid w:val="00152795"/>
    <w:rsid w:val="001528A9"/>
    <w:rsid w:val="00152E2D"/>
    <w:rsid w:val="00152F64"/>
    <w:rsid w:val="00153B24"/>
    <w:rsid w:val="00153C61"/>
    <w:rsid w:val="0015506E"/>
    <w:rsid w:val="0015519E"/>
    <w:rsid w:val="00155B95"/>
    <w:rsid w:val="00155BC2"/>
    <w:rsid w:val="0015613E"/>
    <w:rsid w:val="00156E07"/>
    <w:rsid w:val="001570C1"/>
    <w:rsid w:val="00157B8D"/>
    <w:rsid w:val="00157DA3"/>
    <w:rsid w:val="0016191D"/>
    <w:rsid w:val="001621FB"/>
    <w:rsid w:val="00163175"/>
    <w:rsid w:val="00163892"/>
    <w:rsid w:val="001641CE"/>
    <w:rsid w:val="00164292"/>
    <w:rsid w:val="001645FF"/>
    <w:rsid w:val="00165158"/>
    <w:rsid w:val="0016553E"/>
    <w:rsid w:val="00166138"/>
    <w:rsid w:val="0016622C"/>
    <w:rsid w:val="001663F9"/>
    <w:rsid w:val="0016650B"/>
    <w:rsid w:val="0016709C"/>
    <w:rsid w:val="001671FD"/>
    <w:rsid w:val="00167546"/>
    <w:rsid w:val="00167DDA"/>
    <w:rsid w:val="0017054D"/>
    <w:rsid w:val="001709ED"/>
    <w:rsid w:val="00171B76"/>
    <w:rsid w:val="001722C4"/>
    <w:rsid w:val="0017363C"/>
    <w:rsid w:val="00176690"/>
    <w:rsid w:val="00176CA8"/>
    <w:rsid w:val="00176E6E"/>
    <w:rsid w:val="001778AE"/>
    <w:rsid w:val="0017791F"/>
    <w:rsid w:val="00177AD8"/>
    <w:rsid w:val="001815A3"/>
    <w:rsid w:val="00181835"/>
    <w:rsid w:val="00181E52"/>
    <w:rsid w:val="00181F00"/>
    <w:rsid w:val="0018237D"/>
    <w:rsid w:val="00182A68"/>
    <w:rsid w:val="00183781"/>
    <w:rsid w:val="00183E21"/>
    <w:rsid w:val="00183F63"/>
    <w:rsid w:val="0018481A"/>
    <w:rsid w:val="001850BE"/>
    <w:rsid w:val="001859F2"/>
    <w:rsid w:val="00185AAA"/>
    <w:rsid w:val="00185AEE"/>
    <w:rsid w:val="00185D3C"/>
    <w:rsid w:val="00187047"/>
    <w:rsid w:val="00187145"/>
    <w:rsid w:val="00187450"/>
    <w:rsid w:val="0019020C"/>
    <w:rsid w:val="00190C2D"/>
    <w:rsid w:val="001915C1"/>
    <w:rsid w:val="0019164C"/>
    <w:rsid w:val="00191D75"/>
    <w:rsid w:val="0019216C"/>
    <w:rsid w:val="001921C3"/>
    <w:rsid w:val="00192E13"/>
    <w:rsid w:val="00192E63"/>
    <w:rsid w:val="0019317A"/>
    <w:rsid w:val="00193305"/>
    <w:rsid w:val="001943D5"/>
    <w:rsid w:val="001947B7"/>
    <w:rsid w:val="00194F48"/>
    <w:rsid w:val="00195313"/>
    <w:rsid w:val="0019577D"/>
    <w:rsid w:val="0019653F"/>
    <w:rsid w:val="00196AEC"/>
    <w:rsid w:val="001975C0"/>
    <w:rsid w:val="00197755"/>
    <w:rsid w:val="0019788C"/>
    <w:rsid w:val="001A0276"/>
    <w:rsid w:val="001A0E76"/>
    <w:rsid w:val="001A1771"/>
    <w:rsid w:val="001A1EB0"/>
    <w:rsid w:val="001A3CB8"/>
    <w:rsid w:val="001A3F72"/>
    <w:rsid w:val="001A45AC"/>
    <w:rsid w:val="001A46A0"/>
    <w:rsid w:val="001A48A8"/>
    <w:rsid w:val="001A48BC"/>
    <w:rsid w:val="001A494F"/>
    <w:rsid w:val="001A4B36"/>
    <w:rsid w:val="001A4C8B"/>
    <w:rsid w:val="001A52A5"/>
    <w:rsid w:val="001A5398"/>
    <w:rsid w:val="001A5A44"/>
    <w:rsid w:val="001A5D7E"/>
    <w:rsid w:val="001A5EAA"/>
    <w:rsid w:val="001A637E"/>
    <w:rsid w:val="001A6A8A"/>
    <w:rsid w:val="001A6D2B"/>
    <w:rsid w:val="001A759A"/>
    <w:rsid w:val="001A7CB2"/>
    <w:rsid w:val="001A7D38"/>
    <w:rsid w:val="001A7F81"/>
    <w:rsid w:val="001A7FCE"/>
    <w:rsid w:val="001B045E"/>
    <w:rsid w:val="001B1525"/>
    <w:rsid w:val="001B22E6"/>
    <w:rsid w:val="001B23E2"/>
    <w:rsid w:val="001B25A4"/>
    <w:rsid w:val="001B2E35"/>
    <w:rsid w:val="001B309A"/>
    <w:rsid w:val="001B342E"/>
    <w:rsid w:val="001B376C"/>
    <w:rsid w:val="001B3AEE"/>
    <w:rsid w:val="001B3D76"/>
    <w:rsid w:val="001B5121"/>
    <w:rsid w:val="001B5828"/>
    <w:rsid w:val="001B670A"/>
    <w:rsid w:val="001B6B52"/>
    <w:rsid w:val="001B787E"/>
    <w:rsid w:val="001C0639"/>
    <w:rsid w:val="001C0DEC"/>
    <w:rsid w:val="001C166D"/>
    <w:rsid w:val="001C185C"/>
    <w:rsid w:val="001C1C68"/>
    <w:rsid w:val="001C2066"/>
    <w:rsid w:val="001C206E"/>
    <w:rsid w:val="001C2821"/>
    <w:rsid w:val="001C2F0C"/>
    <w:rsid w:val="001C3CBC"/>
    <w:rsid w:val="001C4766"/>
    <w:rsid w:val="001C48A3"/>
    <w:rsid w:val="001C4F0C"/>
    <w:rsid w:val="001C528B"/>
    <w:rsid w:val="001C5352"/>
    <w:rsid w:val="001C543C"/>
    <w:rsid w:val="001C55C7"/>
    <w:rsid w:val="001C6A9D"/>
    <w:rsid w:val="001C72B2"/>
    <w:rsid w:val="001C7DF3"/>
    <w:rsid w:val="001D03E5"/>
    <w:rsid w:val="001D109A"/>
    <w:rsid w:val="001D20AE"/>
    <w:rsid w:val="001D22F6"/>
    <w:rsid w:val="001D2352"/>
    <w:rsid w:val="001D2573"/>
    <w:rsid w:val="001D2C3D"/>
    <w:rsid w:val="001D3832"/>
    <w:rsid w:val="001D3C4C"/>
    <w:rsid w:val="001D415B"/>
    <w:rsid w:val="001D4B50"/>
    <w:rsid w:val="001D56D2"/>
    <w:rsid w:val="001D588D"/>
    <w:rsid w:val="001D5DF8"/>
    <w:rsid w:val="001D63E9"/>
    <w:rsid w:val="001D6F86"/>
    <w:rsid w:val="001D731A"/>
    <w:rsid w:val="001D73C8"/>
    <w:rsid w:val="001D748D"/>
    <w:rsid w:val="001D780B"/>
    <w:rsid w:val="001E06EA"/>
    <w:rsid w:val="001E0C08"/>
    <w:rsid w:val="001E0C89"/>
    <w:rsid w:val="001E2EAD"/>
    <w:rsid w:val="001E3327"/>
    <w:rsid w:val="001E39DB"/>
    <w:rsid w:val="001E4388"/>
    <w:rsid w:val="001E43F6"/>
    <w:rsid w:val="001E52BD"/>
    <w:rsid w:val="001E57B1"/>
    <w:rsid w:val="001E5F88"/>
    <w:rsid w:val="001E67CF"/>
    <w:rsid w:val="001E729E"/>
    <w:rsid w:val="001E78BF"/>
    <w:rsid w:val="001E7C64"/>
    <w:rsid w:val="001F0FA4"/>
    <w:rsid w:val="001F1111"/>
    <w:rsid w:val="001F11C9"/>
    <w:rsid w:val="001F17AB"/>
    <w:rsid w:val="001F18E1"/>
    <w:rsid w:val="001F1CB1"/>
    <w:rsid w:val="001F1ED3"/>
    <w:rsid w:val="001F23E8"/>
    <w:rsid w:val="001F261B"/>
    <w:rsid w:val="001F2E03"/>
    <w:rsid w:val="001F36D8"/>
    <w:rsid w:val="001F4324"/>
    <w:rsid w:val="001F4CA6"/>
    <w:rsid w:val="001F5644"/>
    <w:rsid w:val="001F60BF"/>
    <w:rsid w:val="001F718E"/>
    <w:rsid w:val="001F73D2"/>
    <w:rsid w:val="001F7840"/>
    <w:rsid w:val="001F7A31"/>
    <w:rsid w:val="0020025F"/>
    <w:rsid w:val="00200BDB"/>
    <w:rsid w:val="00202240"/>
    <w:rsid w:val="00203127"/>
    <w:rsid w:val="00203222"/>
    <w:rsid w:val="002033B5"/>
    <w:rsid w:val="00204E93"/>
    <w:rsid w:val="00205804"/>
    <w:rsid w:val="0020587F"/>
    <w:rsid w:val="002059E4"/>
    <w:rsid w:val="00205B2D"/>
    <w:rsid w:val="00205E65"/>
    <w:rsid w:val="0020648E"/>
    <w:rsid w:val="0020727B"/>
    <w:rsid w:val="002074BA"/>
    <w:rsid w:val="00207917"/>
    <w:rsid w:val="00210F0B"/>
    <w:rsid w:val="0021231B"/>
    <w:rsid w:val="00212447"/>
    <w:rsid w:val="00213164"/>
    <w:rsid w:val="002137F0"/>
    <w:rsid w:val="00213AB5"/>
    <w:rsid w:val="002146A1"/>
    <w:rsid w:val="00214756"/>
    <w:rsid w:val="00214AFA"/>
    <w:rsid w:val="0021543B"/>
    <w:rsid w:val="00215FAB"/>
    <w:rsid w:val="00217214"/>
    <w:rsid w:val="00217745"/>
    <w:rsid w:val="002205FC"/>
    <w:rsid w:val="0022085D"/>
    <w:rsid w:val="00220946"/>
    <w:rsid w:val="00221021"/>
    <w:rsid w:val="00221E71"/>
    <w:rsid w:val="0022238B"/>
    <w:rsid w:val="002225D0"/>
    <w:rsid w:val="00222AB6"/>
    <w:rsid w:val="00222AC0"/>
    <w:rsid w:val="002231B4"/>
    <w:rsid w:val="00223638"/>
    <w:rsid w:val="00223CF2"/>
    <w:rsid w:val="0022461C"/>
    <w:rsid w:val="00224846"/>
    <w:rsid w:val="00224BF3"/>
    <w:rsid w:val="00224C0A"/>
    <w:rsid w:val="00224D0E"/>
    <w:rsid w:val="00224FF8"/>
    <w:rsid w:val="002250DD"/>
    <w:rsid w:val="00225156"/>
    <w:rsid w:val="00225CD2"/>
    <w:rsid w:val="00226046"/>
    <w:rsid w:val="00226B39"/>
    <w:rsid w:val="0022740D"/>
    <w:rsid w:val="00227C0C"/>
    <w:rsid w:val="0023025C"/>
    <w:rsid w:val="0023082D"/>
    <w:rsid w:val="002308B1"/>
    <w:rsid w:val="00230A38"/>
    <w:rsid w:val="00230BD1"/>
    <w:rsid w:val="00230F63"/>
    <w:rsid w:val="00231196"/>
    <w:rsid w:val="0023233E"/>
    <w:rsid w:val="002324B4"/>
    <w:rsid w:val="00232EE8"/>
    <w:rsid w:val="002330AE"/>
    <w:rsid w:val="002334EC"/>
    <w:rsid w:val="0023359A"/>
    <w:rsid w:val="0023359B"/>
    <w:rsid w:val="00233C67"/>
    <w:rsid w:val="00233F27"/>
    <w:rsid w:val="002341E7"/>
    <w:rsid w:val="00234A7C"/>
    <w:rsid w:val="00234F4C"/>
    <w:rsid w:val="0023552A"/>
    <w:rsid w:val="00235F07"/>
    <w:rsid w:val="00235F45"/>
    <w:rsid w:val="00236989"/>
    <w:rsid w:val="00236D09"/>
    <w:rsid w:val="00236E58"/>
    <w:rsid w:val="002378E1"/>
    <w:rsid w:val="0024021D"/>
    <w:rsid w:val="00240261"/>
    <w:rsid w:val="002410CD"/>
    <w:rsid w:val="00241A7D"/>
    <w:rsid w:val="002427DE"/>
    <w:rsid w:val="00242FFB"/>
    <w:rsid w:val="00244A2A"/>
    <w:rsid w:val="00244CA3"/>
    <w:rsid w:val="00245709"/>
    <w:rsid w:val="00246A03"/>
    <w:rsid w:val="002471CE"/>
    <w:rsid w:val="002474A4"/>
    <w:rsid w:val="0025023D"/>
    <w:rsid w:val="00250568"/>
    <w:rsid w:val="00250DCD"/>
    <w:rsid w:val="00250E8D"/>
    <w:rsid w:val="002513FE"/>
    <w:rsid w:val="0025198A"/>
    <w:rsid w:val="00251C40"/>
    <w:rsid w:val="002524E8"/>
    <w:rsid w:val="0025258B"/>
    <w:rsid w:val="00252CBD"/>
    <w:rsid w:val="00252CCF"/>
    <w:rsid w:val="00252E1E"/>
    <w:rsid w:val="00253C95"/>
    <w:rsid w:val="0025404A"/>
    <w:rsid w:val="00254210"/>
    <w:rsid w:val="002542A6"/>
    <w:rsid w:val="002544E4"/>
    <w:rsid w:val="002550D1"/>
    <w:rsid w:val="002555F1"/>
    <w:rsid w:val="002566D3"/>
    <w:rsid w:val="00256CCA"/>
    <w:rsid w:val="00257DCD"/>
    <w:rsid w:val="00260256"/>
    <w:rsid w:val="00260D3D"/>
    <w:rsid w:val="00260DBC"/>
    <w:rsid w:val="002611A8"/>
    <w:rsid w:val="00261372"/>
    <w:rsid w:val="00261F5E"/>
    <w:rsid w:val="00262998"/>
    <w:rsid w:val="00262BBF"/>
    <w:rsid w:val="0026416F"/>
    <w:rsid w:val="00264289"/>
    <w:rsid w:val="00264635"/>
    <w:rsid w:val="00264A76"/>
    <w:rsid w:val="0026533A"/>
    <w:rsid w:val="00265BD9"/>
    <w:rsid w:val="0026619B"/>
    <w:rsid w:val="002663C1"/>
    <w:rsid w:val="00267866"/>
    <w:rsid w:val="002678B0"/>
    <w:rsid w:val="00270785"/>
    <w:rsid w:val="00271C41"/>
    <w:rsid w:val="0027209E"/>
    <w:rsid w:val="00272AFC"/>
    <w:rsid w:val="00272F0D"/>
    <w:rsid w:val="0027321A"/>
    <w:rsid w:val="0027381F"/>
    <w:rsid w:val="002739A9"/>
    <w:rsid w:val="00273A42"/>
    <w:rsid w:val="00273E6E"/>
    <w:rsid w:val="00274294"/>
    <w:rsid w:val="00274341"/>
    <w:rsid w:val="002743F9"/>
    <w:rsid w:val="00274685"/>
    <w:rsid w:val="00275395"/>
    <w:rsid w:val="00275851"/>
    <w:rsid w:val="0027616E"/>
    <w:rsid w:val="00276B00"/>
    <w:rsid w:val="00276C44"/>
    <w:rsid w:val="00277A06"/>
    <w:rsid w:val="0028012E"/>
    <w:rsid w:val="00280454"/>
    <w:rsid w:val="0028050E"/>
    <w:rsid w:val="00280B75"/>
    <w:rsid w:val="002821B9"/>
    <w:rsid w:val="00282717"/>
    <w:rsid w:val="00283043"/>
    <w:rsid w:val="0028311E"/>
    <w:rsid w:val="00284C30"/>
    <w:rsid w:val="0028601F"/>
    <w:rsid w:val="00286394"/>
    <w:rsid w:val="0028747E"/>
    <w:rsid w:val="002875E5"/>
    <w:rsid w:val="00292000"/>
    <w:rsid w:val="002925AA"/>
    <w:rsid w:val="00292FA3"/>
    <w:rsid w:val="0029308C"/>
    <w:rsid w:val="002930C2"/>
    <w:rsid w:val="0029340E"/>
    <w:rsid w:val="00294CCA"/>
    <w:rsid w:val="00294F78"/>
    <w:rsid w:val="00296333"/>
    <w:rsid w:val="00297751"/>
    <w:rsid w:val="002A00CF"/>
    <w:rsid w:val="002A0138"/>
    <w:rsid w:val="002A0B50"/>
    <w:rsid w:val="002A10B5"/>
    <w:rsid w:val="002A1E2E"/>
    <w:rsid w:val="002A2133"/>
    <w:rsid w:val="002A2420"/>
    <w:rsid w:val="002A3723"/>
    <w:rsid w:val="002A3CD1"/>
    <w:rsid w:val="002A4053"/>
    <w:rsid w:val="002A52C5"/>
    <w:rsid w:val="002A6798"/>
    <w:rsid w:val="002A6EC3"/>
    <w:rsid w:val="002A727A"/>
    <w:rsid w:val="002B0EEF"/>
    <w:rsid w:val="002B0FC9"/>
    <w:rsid w:val="002B11A3"/>
    <w:rsid w:val="002B1731"/>
    <w:rsid w:val="002B18F2"/>
    <w:rsid w:val="002B1A23"/>
    <w:rsid w:val="002B1CBA"/>
    <w:rsid w:val="002B1EB9"/>
    <w:rsid w:val="002B200F"/>
    <w:rsid w:val="002B250F"/>
    <w:rsid w:val="002B2EF6"/>
    <w:rsid w:val="002B5B39"/>
    <w:rsid w:val="002B5D56"/>
    <w:rsid w:val="002B63D5"/>
    <w:rsid w:val="002B6656"/>
    <w:rsid w:val="002B6CB0"/>
    <w:rsid w:val="002B6F07"/>
    <w:rsid w:val="002B7A0A"/>
    <w:rsid w:val="002C08B6"/>
    <w:rsid w:val="002C0F29"/>
    <w:rsid w:val="002C1E62"/>
    <w:rsid w:val="002C2BB4"/>
    <w:rsid w:val="002C2E70"/>
    <w:rsid w:val="002C32D2"/>
    <w:rsid w:val="002C3825"/>
    <w:rsid w:val="002C38BB"/>
    <w:rsid w:val="002C3D98"/>
    <w:rsid w:val="002C42F7"/>
    <w:rsid w:val="002C45D3"/>
    <w:rsid w:val="002C4BEF"/>
    <w:rsid w:val="002C51E6"/>
    <w:rsid w:val="002C6584"/>
    <w:rsid w:val="002D03C6"/>
    <w:rsid w:val="002D079B"/>
    <w:rsid w:val="002D09C7"/>
    <w:rsid w:val="002D135E"/>
    <w:rsid w:val="002D18CF"/>
    <w:rsid w:val="002D1CC1"/>
    <w:rsid w:val="002D1E2A"/>
    <w:rsid w:val="002D2F8C"/>
    <w:rsid w:val="002D30CF"/>
    <w:rsid w:val="002D3BB5"/>
    <w:rsid w:val="002D45AB"/>
    <w:rsid w:val="002D48E3"/>
    <w:rsid w:val="002D4EBE"/>
    <w:rsid w:val="002D52D3"/>
    <w:rsid w:val="002D58DE"/>
    <w:rsid w:val="002D5D2C"/>
    <w:rsid w:val="002D620C"/>
    <w:rsid w:val="002D69C9"/>
    <w:rsid w:val="002D6DB2"/>
    <w:rsid w:val="002D6F1C"/>
    <w:rsid w:val="002D7F89"/>
    <w:rsid w:val="002E0166"/>
    <w:rsid w:val="002E03F1"/>
    <w:rsid w:val="002E1A34"/>
    <w:rsid w:val="002E307A"/>
    <w:rsid w:val="002E38D9"/>
    <w:rsid w:val="002E3D37"/>
    <w:rsid w:val="002E51CD"/>
    <w:rsid w:val="002E614A"/>
    <w:rsid w:val="002E6368"/>
    <w:rsid w:val="002E6497"/>
    <w:rsid w:val="002E675C"/>
    <w:rsid w:val="002E6CEA"/>
    <w:rsid w:val="002E77B0"/>
    <w:rsid w:val="002F282A"/>
    <w:rsid w:val="002F2BD1"/>
    <w:rsid w:val="002F2C81"/>
    <w:rsid w:val="002F30D5"/>
    <w:rsid w:val="002F36E6"/>
    <w:rsid w:val="002F38B1"/>
    <w:rsid w:val="002F39AA"/>
    <w:rsid w:val="002F3BA1"/>
    <w:rsid w:val="002F3C93"/>
    <w:rsid w:val="002F482B"/>
    <w:rsid w:val="002F4940"/>
    <w:rsid w:val="002F5223"/>
    <w:rsid w:val="002F57B9"/>
    <w:rsid w:val="002F677F"/>
    <w:rsid w:val="002F6CCF"/>
    <w:rsid w:val="002F6E9F"/>
    <w:rsid w:val="002F7859"/>
    <w:rsid w:val="00300799"/>
    <w:rsid w:val="003012A5"/>
    <w:rsid w:val="00303140"/>
    <w:rsid w:val="0030421D"/>
    <w:rsid w:val="00304225"/>
    <w:rsid w:val="00305401"/>
    <w:rsid w:val="00305C55"/>
    <w:rsid w:val="00305CFD"/>
    <w:rsid w:val="00305FFC"/>
    <w:rsid w:val="00306CA5"/>
    <w:rsid w:val="00306F1E"/>
    <w:rsid w:val="0030713B"/>
    <w:rsid w:val="0030738B"/>
    <w:rsid w:val="00307689"/>
    <w:rsid w:val="00307797"/>
    <w:rsid w:val="00310531"/>
    <w:rsid w:val="00310A6F"/>
    <w:rsid w:val="003113C9"/>
    <w:rsid w:val="003114C0"/>
    <w:rsid w:val="00311547"/>
    <w:rsid w:val="00311816"/>
    <w:rsid w:val="00311ED9"/>
    <w:rsid w:val="00312E9A"/>
    <w:rsid w:val="0031372E"/>
    <w:rsid w:val="00314EFD"/>
    <w:rsid w:val="00315C11"/>
    <w:rsid w:val="00315F8B"/>
    <w:rsid w:val="003164BA"/>
    <w:rsid w:val="00316FD2"/>
    <w:rsid w:val="00317516"/>
    <w:rsid w:val="00317CFA"/>
    <w:rsid w:val="00320934"/>
    <w:rsid w:val="0032163C"/>
    <w:rsid w:val="00322207"/>
    <w:rsid w:val="0032253B"/>
    <w:rsid w:val="00323385"/>
    <w:rsid w:val="003234CC"/>
    <w:rsid w:val="00323BB1"/>
    <w:rsid w:val="00323D05"/>
    <w:rsid w:val="003248F8"/>
    <w:rsid w:val="00324A82"/>
    <w:rsid w:val="00325257"/>
    <w:rsid w:val="0032540B"/>
    <w:rsid w:val="00325C36"/>
    <w:rsid w:val="003260B4"/>
    <w:rsid w:val="0032639B"/>
    <w:rsid w:val="003275C2"/>
    <w:rsid w:val="003275CA"/>
    <w:rsid w:val="00330378"/>
    <w:rsid w:val="003305E1"/>
    <w:rsid w:val="00330B67"/>
    <w:rsid w:val="003315B2"/>
    <w:rsid w:val="003339E9"/>
    <w:rsid w:val="00333DDA"/>
    <w:rsid w:val="00333EC4"/>
    <w:rsid w:val="00334759"/>
    <w:rsid w:val="00334A94"/>
    <w:rsid w:val="00334AB4"/>
    <w:rsid w:val="00334B3B"/>
    <w:rsid w:val="00335193"/>
    <w:rsid w:val="00335772"/>
    <w:rsid w:val="00335D7D"/>
    <w:rsid w:val="00335E4A"/>
    <w:rsid w:val="003360DE"/>
    <w:rsid w:val="003366A4"/>
    <w:rsid w:val="00337601"/>
    <w:rsid w:val="00337604"/>
    <w:rsid w:val="00337DDF"/>
    <w:rsid w:val="003428AA"/>
    <w:rsid w:val="00342B97"/>
    <w:rsid w:val="00342D53"/>
    <w:rsid w:val="003431BA"/>
    <w:rsid w:val="003436F1"/>
    <w:rsid w:val="00343D97"/>
    <w:rsid w:val="00344582"/>
    <w:rsid w:val="00344C4F"/>
    <w:rsid w:val="00344C52"/>
    <w:rsid w:val="00344DE3"/>
    <w:rsid w:val="0034525E"/>
    <w:rsid w:val="003454F5"/>
    <w:rsid w:val="00346589"/>
    <w:rsid w:val="00347A17"/>
    <w:rsid w:val="00347D46"/>
    <w:rsid w:val="00350758"/>
    <w:rsid w:val="00351293"/>
    <w:rsid w:val="00351435"/>
    <w:rsid w:val="0035260B"/>
    <w:rsid w:val="00353205"/>
    <w:rsid w:val="00353611"/>
    <w:rsid w:val="00353BAA"/>
    <w:rsid w:val="00354977"/>
    <w:rsid w:val="00355500"/>
    <w:rsid w:val="00355701"/>
    <w:rsid w:val="00356A99"/>
    <w:rsid w:val="00356F08"/>
    <w:rsid w:val="0035728C"/>
    <w:rsid w:val="00357688"/>
    <w:rsid w:val="00357FF9"/>
    <w:rsid w:val="003602F9"/>
    <w:rsid w:val="003609D7"/>
    <w:rsid w:val="0036106E"/>
    <w:rsid w:val="00361153"/>
    <w:rsid w:val="00361B5F"/>
    <w:rsid w:val="003622EA"/>
    <w:rsid w:val="00362389"/>
    <w:rsid w:val="00363229"/>
    <w:rsid w:val="003634C8"/>
    <w:rsid w:val="003636D5"/>
    <w:rsid w:val="00364156"/>
    <w:rsid w:val="0036441F"/>
    <w:rsid w:val="003649AE"/>
    <w:rsid w:val="00364C77"/>
    <w:rsid w:val="00364CFE"/>
    <w:rsid w:val="00365368"/>
    <w:rsid w:val="0036569C"/>
    <w:rsid w:val="00365E51"/>
    <w:rsid w:val="00366C52"/>
    <w:rsid w:val="00366D89"/>
    <w:rsid w:val="00367823"/>
    <w:rsid w:val="00370137"/>
    <w:rsid w:val="00370283"/>
    <w:rsid w:val="00370830"/>
    <w:rsid w:val="003711DD"/>
    <w:rsid w:val="0037268A"/>
    <w:rsid w:val="00372E86"/>
    <w:rsid w:val="00373DFF"/>
    <w:rsid w:val="00374153"/>
    <w:rsid w:val="00374E87"/>
    <w:rsid w:val="00376261"/>
    <w:rsid w:val="00376AF2"/>
    <w:rsid w:val="00376BC6"/>
    <w:rsid w:val="00376DB5"/>
    <w:rsid w:val="0037760A"/>
    <w:rsid w:val="00377677"/>
    <w:rsid w:val="00377A61"/>
    <w:rsid w:val="00377E9F"/>
    <w:rsid w:val="0038013F"/>
    <w:rsid w:val="003801BC"/>
    <w:rsid w:val="00380411"/>
    <w:rsid w:val="00380763"/>
    <w:rsid w:val="00380F5A"/>
    <w:rsid w:val="003813AA"/>
    <w:rsid w:val="00381A85"/>
    <w:rsid w:val="00381D40"/>
    <w:rsid w:val="00381DD0"/>
    <w:rsid w:val="00382B64"/>
    <w:rsid w:val="00382BBD"/>
    <w:rsid w:val="00382D1E"/>
    <w:rsid w:val="003835F1"/>
    <w:rsid w:val="00383990"/>
    <w:rsid w:val="00383A90"/>
    <w:rsid w:val="00383B18"/>
    <w:rsid w:val="00384103"/>
    <w:rsid w:val="00384B0B"/>
    <w:rsid w:val="00384F3B"/>
    <w:rsid w:val="00384FBE"/>
    <w:rsid w:val="00385788"/>
    <w:rsid w:val="0038619F"/>
    <w:rsid w:val="0038751C"/>
    <w:rsid w:val="00390469"/>
    <w:rsid w:val="00390A66"/>
    <w:rsid w:val="00390BAB"/>
    <w:rsid w:val="003911A7"/>
    <w:rsid w:val="00391231"/>
    <w:rsid w:val="00391E1B"/>
    <w:rsid w:val="00391EF6"/>
    <w:rsid w:val="00392197"/>
    <w:rsid w:val="003924AB"/>
    <w:rsid w:val="003925BC"/>
    <w:rsid w:val="00392769"/>
    <w:rsid w:val="003950BA"/>
    <w:rsid w:val="00395588"/>
    <w:rsid w:val="0039594F"/>
    <w:rsid w:val="00396942"/>
    <w:rsid w:val="00397EAB"/>
    <w:rsid w:val="00397F79"/>
    <w:rsid w:val="003A02E2"/>
    <w:rsid w:val="003A080F"/>
    <w:rsid w:val="003A08C0"/>
    <w:rsid w:val="003A0CE8"/>
    <w:rsid w:val="003A112B"/>
    <w:rsid w:val="003A12D5"/>
    <w:rsid w:val="003A1C4F"/>
    <w:rsid w:val="003A21E7"/>
    <w:rsid w:val="003A2A7C"/>
    <w:rsid w:val="003A36EB"/>
    <w:rsid w:val="003A387F"/>
    <w:rsid w:val="003A3916"/>
    <w:rsid w:val="003A399C"/>
    <w:rsid w:val="003A3B2C"/>
    <w:rsid w:val="003A5396"/>
    <w:rsid w:val="003A53E5"/>
    <w:rsid w:val="003A5FB7"/>
    <w:rsid w:val="003A63B7"/>
    <w:rsid w:val="003A6FF7"/>
    <w:rsid w:val="003A7873"/>
    <w:rsid w:val="003B0292"/>
    <w:rsid w:val="003B0315"/>
    <w:rsid w:val="003B0B7E"/>
    <w:rsid w:val="003B1501"/>
    <w:rsid w:val="003B1C46"/>
    <w:rsid w:val="003B1F65"/>
    <w:rsid w:val="003B2420"/>
    <w:rsid w:val="003B2873"/>
    <w:rsid w:val="003B32B9"/>
    <w:rsid w:val="003B5B8E"/>
    <w:rsid w:val="003B5CAB"/>
    <w:rsid w:val="003B5F93"/>
    <w:rsid w:val="003B6505"/>
    <w:rsid w:val="003B67F8"/>
    <w:rsid w:val="003C0B75"/>
    <w:rsid w:val="003C1155"/>
    <w:rsid w:val="003C16E6"/>
    <w:rsid w:val="003C1FC9"/>
    <w:rsid w:val="003C27BD"/>
    <w:rsid w:val="003C2E2F"/>
    <w:rsid w:val="003C39CF"/>
    <w:rsid w:val="003C3EDD"/>
    <w:rsid w:val="003C413E"/>
    <w:rsid w:val="003C4840"/>
    <w:rsid w:val="003C50AA"/>
    <w:rsid w:val="003C57F3"/>
    <w:rsid w:val="003C5F68"/>
    <w:rsid w:val="003C60EB"/>
    <w:rsid w:val="003C6C57"/>
    <w:rsid w:val="003C744D"/>
    <w:rsid w:val="003D083D"/>
    <w:rsid w:val="003D0AB9"/>
    <w:rsid w:val="003D1129"/>
    <w:rsid w:val="003D11D6"/>
    <w:rsid w:val="003D1499"/>
    <w:rsid w:val="003D1FE3"/>
    <w:rsid w:val="003D2AF4"/>
    <w:rsid w:val="003D2BF4"/>
    <w:rsid w:val="003D2C35"/>
    <w:rsid w:val="003D2F6C"/>
    <w:rsid w:val="003D3633"/>
    <w:rsid w:val="003D3F26"/>
    <w:rsid w:val="003D458F"/>
    <w:rsid w:val="003D58D1"/>
    <w:rsid w:val="003D5B41"/>
    <w:rsid w:val="003D6856"/>
    <w:rsid w:val="003D6C80"/>
    <w:rsid w:val="003D7776"/>
    <w:rsid w:val="003D7947"/>
    <w:rsid w:val="003D79BB"/>
    <w:rsid w:val="003D7B19"/>
    <w:rsid w:val="003D7F0C"/>
    <w:rsid w:val="003E01F8"/>
    <w:rsid w:val="003E0930"/>
    <w:rsid w:val="003E144B"/>
    <w:rsid w:val="003E16A1"/>
    <w:rsid w:val="003E1750"/>
    <w:rsid w:val="003E1928"/>
    <w:rsid w:val="003E1E18"/>
    <w:rsid w:val="003E1E29"/>
    <w:rsid w:val="003E1EB4"/>
    <w:rsid w:val="003E2604"/>
    <w:rsid w:val="003E2B0A"/>
    <w:rsid w:val="003E3279"/>
    <w:rsid w:val="003E32A7"/>
    <w:rsid w:val="003E366E"/>
    <w:rsid w:val="003E3E4A"/>
    <w:rsid w:val="003E41F4"/>
    <w:rsid w:val="003E41FB"/>
    <w:rsid w:val="003E4739"/>
    <w:rsid w:val="003E47EB"/>
    <w:rsid w:val="003E5400"/>
    <w:rsid w:val="003E57C5"/>
    <w:rsid w:val="003E59A1"/>
    <w:rsid w:val="003E72C8"/>
    <w:rsid w:val="003F01C0"/>
    <w:rsid w:val="003F1566"/>
    <w:rsid w:val="003F15F1"/>
    <w:rsid w:val="003F1E62"/>
    <w:rsid w:val="003F250B"/>
    <w:rsid w:val="003F28F0"/>
    <w:rsid w:val="003F306A"/>
    <w:rsid w:val="003F35E4"/>
    <w:rsid w:val="003F36F5"/>
    <w:rsid w:val="003F370B"/>
    <w:rsid w:val="003F40A7"/>
    <w:rsid w:val="003F419C"/>
    <w:rsid w:val="003F45B2"/>
    <w:rsid w:val="003F55F3"/>
    <w:rsid w:val="003F6927"/>
    <w:rsid w:val="003F6B94"/>
    <w:rsid w:val="003F6CF7"/>
    <w:rsid w:val="003F7662"/>
    <w:rsid w:val="003F78F9"/>
    <w:rsid w:val="003F7FF5"/>
    <w:rsid w:val="00400181"/>
    <w:rsid w:val="004020CE"/>
    <w:rsid w:val="00403126"/>
    <w:rsid w:val="00403DCF"/>
    <w:rsid w:val="004041A8"/>
    <w:rsid w:val="00405153"/>
    <w:rsid w:val="004068BB"/>
    <w:rsid w:val="00406CA5"/>
    <w:rsid w:val="00406CBB"/>
    <w:rsid w:val="004074D3"/>
    <w:rsid w:val="004101D7"/>
    <w:rsid w:val="004106A5"/>
    <w:rsid w:val="00411F6B"/>
    <w:rsid w:val="004130BB"/>
    <w:rsid w:val="00413332"/>
    <w:rsid w:val="00413DB9"/>
    <w:rsid w:val="0041478F"/>
    <w:rsid w:val="00414CBC"/>
    <w:rsid w:val="00414D9D"/>
    <w:rsid w:val="0041577A"/>
    <w:rsid w:val="004158CF"/>
    <w:rsid w:val="00416328"/>
    <w:rsid w:val="00420492"/>
    <w:rsid w:val="0042088F"/>
    <w:rsid w:val="0042119B"/>
    <w:rsid w:val="00421C55"/>
    <w:rsid w:val="00422284"/>
    <w:rsid w:val="0042242D"/>
    <w:rsid w:val="00422789"/>
    <w:rsid w:val="00422951"/>
    <w:rsid w:val="00422C50"/>
    <w:rsid w:val="004230C6"/>
    <w:rsid w:val="00423AC9"/>
    <w:rsid w:val="00424A2C"/>
    <w:rsid w:val="00425C4B"/>
    <w:rsid w:val="00426404"/>
    <w:rsid w:val="00426D8F"/>
    <w:rsid w:val="00426ED1"/>
    <w:rsid w:val="004272E9"/>
    <w:rsid w:val="00427A37"/>
    <w:rsid w:val="004308BB"/>
    <w:rsid w:val="004311A9"/>
    <w:rsid w:val="004316C8"/>
    <w:rsid w:val="00431CE2"/>
    <w:rsid w:val="00431D59"/>
    <w:rsid w:val="0043228C"/>
    <w:rsid w:val="00432841"/>
    <w:rsid w:val="00433D38"/>
    <w:rsid w:val="00434297"/>
    <w:rsid w:val="004349A6"/>
    <w:rsid w:val="00434CA9"/>
    <w:rsid w:val="0043619C"/>
    <w:rsid w:val="00436224"/>
    <w:rsid w:val="00436E5D"/>
    <w:rsid w:val="004375F1"/>
    <w:rsid w:val="00437601"/>
    <w:rsid w:val="00437F72"/>
    <w:rsid w:val="00440323"/>
    <w:rsid w:val="004406A8"/>
    <w:rsid w:val="00440BC4"/>
    <w:rsid w:val="00440EE0"/>
    <w:rsid w:val="00440F45"/>
    <w:rsid w:val="00441730"/>
    <w:rsid w:val="00441C1D"/>
    <w:rsid w:val="0044239C"/>
    <w:rsid w:val="00442653"/>
    <w:rsid w:val="00442C7E"/>
    <w:rsid w:val="00443102"/>
    <w:rsid w:val="00443206"/>
    <w:rsid w:val="00443A23"/>
    <w:rsid w:val="00444B67"/>
    <w:rsid w:val="004458C7"/>
    <w:rsid w:val="00445DC2"/>
    <w:rsid w:val="004463D0"/>
    <w:rsid w:val="004464D4"/>
    <w:rsid w:val="00446630"/>
    <w:rsid w:val="00446EB2"/>
    <w:rsid w:val="00447115"/>
    <w:rsid w:val="004472D6"/>
    <w:rsid w:val="0044762E"/>
    <w:rsid w:val="00447804"/>
    <w:rsid w:val="00447F8F"/>
    <w:rsid w:val="004501E2"/>
    <w:rsid w:val="004502DD"/>
    <w:rsid w:val="00450904"/>
    <w:rsid w:val="00450F18"/>
    <w:rsid w:val="00450F39"/>
    <w:rsid w:val="00451347"/>
    <w:rsid w:val="004513C7"/>
    <w:rsid w:val="00451AA5"/>
    <w:rsid w:val="004521B6"/>
    <w:rsid w:val="004526C9"/>
    <w:rsid w:val="004529F7"/>
    <w:rsid w:val="004532AB"/>
    <w:rsid w:val="00453635"/>
    <w:rsid w:val="00453BDD"/>
    <w:rsid w:val="00453CB2"/>
    <w:rsid w:val="0045467F"/>
    <w:rsid w:val="00454CB8"/>
    <w:rsid w:val="00455384"/>
    <w:rsid w:val="004553C9"/>
    <w:rsid w:val="00455599"/>
    <w:rsid w:val="0045606D"/>
    <w:rsid w:val="0045789A"/>
    <w:rsid w:val="00457FCB"/>
    <w:rsid w:val="00460603"/>
    <w:rsid w:val="00460ABD"/>
    <w:rsid w:val="00460E4D"/>
    <w:rsid w:val="004617E2"/>
    <w:rsid w:val="0046186E"/>
    <w:rsid w:val="00462861"/>
    <w:rsid w:val="00462CD6"/>
    <w:rsid w:val="004635A5"/>
    <w:rsid w:val="00463940"/>
    <w:rsid w:val="00463CDC"/>
    <w:rsid w:val="0046455C"/>
    <w:rsid w:val="00464DC7"/>
    <w:rsid w:val="00465038"/>
    <w:rsid w:val="00465459"/>
    <w:rsid w:val="00466FFB"/>
    <w:rsid w:val="0046744A"/>
    <w:rsid w:val="00467731"/>
    <w:rsid w:val="00467BCD"/>
    <w:rsid w:val="00467E28"/>
    <w:rsid w:val="004700DB"/>
    <w:rsid w:val="00470EC8"/>
    <w:rsid w:val="004724AC"/>
    <w:rsid w:val="00472BAB"/>
    <w:rsid w:val="00472D1E"/>
    <w:rsid w:val="00472E1F"/>
    <w:rsid w:val="004741CE"/>
    <w:rsid w:val="004755F4"/>
    <w:rsid w:val="0047594F"/>
    <w:rsid w:val="00475E87"/>
    <w:rsid w:val="0047612A"/>
    <w:rsid w:val="004762D8"/>
    <w:rsid w:val="00476F70"/>
    <w:rsid w:val="00477CB5"/>
    <w:rsid w:val="00477E2C"/>
    <w:rsid w:val="00480F34"/>
    <w:rsid w:val="0048103D"/>
    <w:rsid w:val="00481052"/>
    <w:rsid w:val="004810F4"/>
    <w:rsid w:val="004817A7"/>
    <w:rsid w:val="00481B41"/>
    <w:rsid w:val="00482674"/>
    <w:rsid w:val="0048274D"/>
    <w:rsid w:val="0048348E"/>
    <w:rsid w:val="004835B7"/>
    <w:rsid w:val="004846A3"/>
    <w:rsid w:val="004848CC"/>
    <w:rsid w:val="00484ECB"/>
    <w:rsid w:val="00485C83"/>
    <w:rsid w:val="00485C87"/>
    <w:rsid w:val="00485C8D"/>
    <w:rsid w:val="00486798"/>
    <w:rsid w:val="00486CA9"/>
    <w:rsid w:val="00486E41"/>
    <w:rsid w:val="00486F91"/>
    <w:rsid w:val="004877DB"/>
    <w:rsid w:val="0049097B"/>
    <w:rsid w:val="00492148"/>
    <w:rsid w:val="004923C7"/>
    <w:rsid w:val="004926AE"/>
    <w:rsid w:val="004926DF"/>
    <w:rsid w:val="00492EC6"/>
    <w:rsid w:val="004939AE"/>
    <w:rsid w:val="00493E59"/>
    <w:rsid w:val="00494821"/>
    <w:rsid w:val="00495575"/>
    <w:rsid w:val="00496AB9"/>
    <w:rsid w:val="004971EB"/>
    <w:rsid w:val="004976DF"/>
    <w:rsid w:val="004A1E8C"/>
    <w:rsid w:val="004A2753"/>
    <w:rsid w:val="004A27E4"/>
    <w:rsid w:val="004A2929"/>
    <w:rsid w:val="004A3183"/>
    <w:rsid w:val="004A35E6"/>
    <w:rsid w:val="004A4138"/>
    <w:rsid w:val="004A4E07"/>
    <w:rsid w:val="004A5532"/>
    <w:rsid w:val="004A576A"/>
    <w:rsid w:val="004A5A26"/>
    <w:rsid w:val="004A723B"/>
    <w:rsid w:val="004B0134"/>
    <w:rsid w:val="004B06D0"/>
    <w:rsid w:val="004B15FB"/>
    <w:rsid w:val="004B163E"/>
    <w:rsid w:val="004B265C"/>
    <w:rsid w:val="004B2A4B"/>
    <w:rsid w:val="004B2B71"/>
    <w:rsid w:val="004B2E5C"/>
    <w:rsid w:val="004B30B6"/>
    <w:rsid w:val="004B30C0"/>
    <w:rsid w:val="004B3586"/>
    <w:rsid w:val="004B61DF"/>
    <w:rsid w:val="004B641F"/>
    <w:rsid w:val="004B6520"/>
    <w:rsid w:val="004B6CC0"/>
    <w:rsid w:val="004B71DB"/>
    <w:rsid w:val="004B7E04"/>
    <w:rsid w:val="004C0668"/>
    <w:rsid w:val="004C0FFB"/>
    <w:rsid w:val="004C1269"/>
    <w:rsid w:val="004C129F"/>
    <w:rsid w:val="004C1A63"/>
    <w:rsid w:val="004C1E1A"/>
    <w:rsid w:val="004C1F12"/>
    <w:rsid w:val="004C24A7"/>
    <w:rsid w:val="004C2824"/>
    <w:rsid w:val="004C3095"/>
    <w:rsid w:val="004C3769"/>
    <w:rsid w:val="004C3875"/>
    <w:rsid w:val="004C3904"/>
    <w:rsid w:val="004C3D70"/>
    <w:rsid w:val="004C5249"/>
    <w:rsid w:val="004C52F3"/>
    <w:rsid w:val="004C6CB2"/>
    <w:rsid w:val="004C6E2F"/>
    <w:rsid w:val="004D099C"/>
    <w:rsid w:val="004D0A0C"/>
    <w:rsid w:val="004D1871"/>
    <w:rsid w:val="004D1CA6"/>
    <w:rsid w:val="004D1F43"/>
    <w:rsid w:val="004D1F80"/>
    <w:rsid w:val="004D288A"/>
    <w:rsid w:val="004D28FE"/>
    <w:rsid w:val="004D2CE7"/>
    <w:rsid w:val="004D2EAB"/>
    <w:rsid w:val="004D31B9"/>
    <w:rsid w:val="004D49A7"/>
    <w:rsid w:val="004D4B17"/>
    <w:rsid w:val="004D5262"/>
    <w:rsid w:val="004D65AD"/>
    <w:rsid w:val="004D6649"/>
    <w:rsid w:val="004D7AA2"/>
    <w:rsid w:val="004E0E6F"/>
    <w:rsid w:val="004E15BC"/>
    <w:rsid w:val="004E1B32"/>
    <w:rsid w:val="004E27FD"/>
    <w:rsid w:val="004E2930"/>
    <w:rsid w:val="004E2ABC"/>
    <w:rsid w:val="004E2D23"/>
    <w:rsid w:val="004E30B5"/>
    <w:rsid w:val="004E313C"/>
    <w:rsid w:val="004E3F01"/>
    <w:rsid w:val="004E43F6"/>
    <w:rsid w:val="004E44BF"/>
    <w:rsid w:val="004E479A"/>
    <w:rsid w:val="004E4D57"/>
    <w:rsid w:val="004E4DCB"/>
    <w:rsid w:val="004E5680"/>
    <w:rsid w:val="004E5A5F"/>
    <w:rsid w:val="004E5B54"/>
    <w:rsid w:val="004E6380"/>
    <w:rsid w:val="004E680C"/>
    <w:rsid w:val="004E6B3F"/>
    <w:rsid w:val="004E78B9"/>
    <w:rsid w:val="004F0864"/>
    <w:rsid w:val="004F1204"/>
    <w:rsid w:val="004F17FE"/>
    <w:rsid w:val="004F1D7E"/>
    <w:rsid w:val="004F2430"/>
    <w:rsid w:val="004F2702"/>
    <w:rsid w:val="004F3F42"/>
    <w:rsid w:val="004F42C4"/>
    <w:rsid w:val="004F4DCA"/>
    <w:rsid w:val="004F54A7"/>
    <w:rsid w:val="004F5DA9"/>
    <w:rsid w:val="004F5E76"/>
    <w:rsid w:val="004F6510"/>
    <w:rsid w:val="004F6AA7"/>
    <w:rsid w:val="004F7169"/>
    <w:rsid w:val="004F77FB"/>
    <w:rsid w:val="005005C1"/>
    <w:rsid w:val="005023CC"/>
    <w:rsid w:val="005026B0"/>
    <w:rsid w:val="0050436B"/>
    <w:rsid w:val="0050496D"/>
    <w:rsid w:val="005056ED"/>
    <w:rsid w:val="00505AE4"/>
    <w:rsid w:val="00506873"/>
    <w:rsid w:val="0050713B"/>
    <w:rsid w:val="005114D7"/>
    <w:rsid w:val="00511E0D"/>
    <w:rsid w:val="00511F5A"/>
    <w:rsid w:val="00512D35"/>
    <w:rsid w:val="00512D53"/>
    <w:rsid w:val="005148B6"/>
    <w:rsid w:val="00514B16"/>
    <w:rsid w:val="0051588F"/>
    <w:rsid w:val="0052039A"/>
    <w:rsid w:val="00520858"/>
    <w:rsid w:val="00520AEF"/>
    <w:rsid w:val="00520ECE"/>
    <w:rsid w:val="00521086"/>
    <w:rsid w:val="00521B67"/>
    <w:rsid w:val="00522538"/>
    <w:rsid w:val="0052272D"/>
    <w:rsid w:val="00522937"/>
    <w:rsid w:val="00524655"/>
    <w:rsid w:val="00524815"/>
    <w:rsid w:val="00524FF5"/>
    <w:rsid w:val="005255C6"/>
    <w:rsid w:val="005260A3"/>
    <w:rsid w:val="005263EF"/>
    <w:rsid w:val="00526A69"/>
    <w:rsid w:val="00527F3C"/>
    <w:rsid w:val="005313C7"/>
    <w:rsid w:val="0053257F"/>
    <w:rsid w:val="00532E25"/>
    <w:rsid w:val="00533DE1"/>
    <w:rsid w:val="005343B5"/>
    <w:rsid w:val="00534589"/>
    <w:rsid w:val="00534E37"/>
    <w:rsid w:val="005354F5"/>
    <w:rsid w:val="00535610"/>
    <w:rsid w:val="00535B6A"/>
    <w:rsid w:val="00536478"/>
    <w:rsid w:val="00536847"/>
    <w:rsid w:val="00536915"/>
    <w:rsid w:val="00536C30"/>
    <w:rsid w:val="0053715E"/>
    <w:rsid w:val="00537A17"/>
    <w:rsid w:val="005400F9"/>
    <w:rsid w:val="0054067C"/>
    <w:rsid w:val="00540797"/>
    <w:rsid w:val="00540916"/>
    <w:rsid w:val="0054171B"/>
    <w:rsid w:val="005419C1"/>
    <w:rsid w:val="00542049"/>
    <w:rsid w:val="005422B7"/>
    <w:rsid w:val="00542C05"/>
    <w:rsid w:val="00542DCA"/>
    <w:rsid w:val="0054328A"/>
    <w:rsid w:val="00543D0F"/>
    <w:rsid w:val="00544A8C"/>
    <w:rsid w:val="00544FBC"/>
    <w:rsid w:val="00545407"/>
    <w:rsid w:val="00545862"/>
    <w:rsid w:val="00545998"/>
    <w:rsid w:val="00546851"/>
    <w:rsid w:val="005473F6"/>
    <w:rsid w:val="0054769E"/>
    <w:rsid w:val="005479AA"/>
    <w:rsid w:val="00547B45"/>
    <w:rsid w:val="00547E5B"/>
    <w:rsid w:val="0055021E"/>
    <w:rsid w:val="005513A3"/>
    <w:rsid w:val="00551770"/>
    <w:rsid w:val="00552118"/>
    <w:rsid w:val="0055235A"/>
    <w:rsid w:val="0055309E"/>
    <w:rsid w:val="00553788"/>
    <w:rsid w:val="005543DD"/>
    <w:rsid w:val="0055607F"/>
    <w:rsid w:val="0055644E"/>
    <w:rsid w:val="00556538"/>
    <w:rsid w:val="00556F59"/>
    <w:rsid w:val="00557C59"/>
    <w:rsid w:val="0056006B"/>
    <w:rsid w:val="0056013A"/>
    <w:rsid w:val="00560410"/>
    <w:rsid w:val="00560EBA"/>
    <w:rsid w:val="00561BA0"/>
    <w:rsid w:val="00561E9E"/>
    <w:rsid w:val="00563C70"/>
    <w:rsid w:val="00563D9E"/>
    <w:rsid w:val="00564008"/>
    <w:rsid w:val="0056528F"/>
    <w:rsid w:val="005668E0"/>
    <w:rsid w:val="00566EF6"/>
    <w:rsid w:val="005672D2"/>
    <w:rsid w:val="00570875"/>
    <w:rsid w:val="00570A4A"/>
    <w:rsid w:val="00570A92"/>
    <w:rsid w:val="00571168"/>
    <w:rsid w:val="00571483"/>
    <w:rsid w:val="00571705"/>
    <w:rsid w:val="00571BCA"/>
    <w:rsid w:val="00571C29"/>
    <w:rsid w:val="00572253"/>
    <w:rsid w:val="00572E83"/>
    <w:rsid w:val="0057305D"/>
    <w:rsid w:val="005731B2"/>
    <w:rsid w:val="005734B8"/>
    <w:rsid w:val="00573542"/>
    <w:rsid w:val="00573D20"/>
    <w:rsid w:val="00574DFF"/>
    <w:rsid w:val="00574EC6"/>
    <w:rsid w:val="00574FFE"/>
    <w:rsid w:val="00575674"/>
    <w:rsid w:val="005760A7"/>
    <w:rsid w:val="005766C1"/>
    <w:rsid w:val="00576A53"/>
    <w:rsid w:val="00577DD0"/>
    <w:rsid w:val="0058026B"/>
    <w:rsid w:val="00580D7F"/>
    <w:rsid w:val="00580F8D"/>
    <w:rsid w:val="005815C1"/>
    <w:rsid w:val="00581D74"/>
    <w:rsid w:val="0058201E"/>
    <w:rsid w:val="00582243"/>
    <w:rsid w:val="005824A1"/>
    <w:rsid w:val="0058270F"/>
    <w:rsid w:val="00584E8F"/>
    <w:rsid w:val="005851B7"/>
    <w:rsid w:val="005861F3"/>
    <w:rsid w:val="00586224"/>
    <w:rsid w:val="00590302"/>
    <w:rsid w:val="00590931"/>
    <w:rsid w:val="00590AB9"/>
    <w:rsid w:val="00590F7C"/>
    <w:rsid w:val="005910E5"/>
    <w:rsid w:val="005917D5"/>
    <w:rsid w:val="00591817"/>
    <w:rsid w:val="00591A6F"/>
    <w:rsid w:val="00591A8B"/>
    <w:rsid w:val="00591E0E"/>
    <w:rsid w:val="00592B0A"/>
    <w:rsid w:val="00592C10"/>
    <w:rsid w:val="00593A8E"/>
    <w:rsid w:val="00593BE8"/>
    <w:rsid w:val="005942F0"/>
    <w:rsid w:val="00594407"/>
    <w:rsid w:val="00594591"/>
    <w:rsid w:val="00594D5B"/>
    <w:rsid w:val="00595A59"/>
    <w:rsid w:val="00595BEB"/>
    <w:rsid w:val="00596253"/>
    <w:rsid w:val="0059625C"/>
    <w:rsid w:val="005963FA"/>
    <w:rsid w:val="00596B63"/>
    <w:rsid w:val="005975F0"/>
    <w:rsid w:val="00597803"/>
    <w:rsid w:val="00597DB3"/>
    <w:rsid w:val="005A0C4A"/>
    <w:rsid w:val="005A0EE4"/>
    <w:rsid w:val="005A1207"/>
    <w:rsid w:val="005A12A4"/>
    <w:rsid w:val="005A13E0"/>
    <w:rsid w:val="005A239F"/>
    <w:rsid w:val="005A2557"/>
    <w:rsid w:val="005A29C0"/>
    <w:rsid w:val="005A33BD"/>
    <w:rsid w:val="005A37C4"/>
    <w:rsid w:val="005A49A4"/>
    <w:rsid w:val="005A4B7D"/>
    <w:rsid w:val="005A5892"/>
    <w:rsid w:val="005A59E2"/>
    <w:rsid w:val="005A5EDB"/>
    <w:rsid w:val="005A66FD"/>
    <w:rsid w:val="005A6818"/>
    <w:rsid w:val="005A6907"/>
    <w:rsid w:val="005A7040"/>
    <w:rsid w:val="005B055F"/>
    <w:rsid w:val="005B0785"/>
    <w:rsid w:val="005B0A33"/>
    <w:rsid w:val="005B0FEB"/>
    <w:rsid w:val="005B1A56"/>
    <w:rsid w:val="005B1A61"/>
    <w:rsid w:val="005B1F62"/>
    <w:rsid w:val="005B20E7"/>
    <w:rsid w:val="005B2794"/>
    <w:rsid w:val="005B2C26"/>
    <w:rsid w:val="005B3BCA"/>
    <w:rsid w:val="005B3E09"/>
    <w:rsid w:val="005B417D"/>
    <w:rsid w:val="005B5A39"/>
    <w:rsid w:val="005B60B5"/>
    <w:rsid w:val="005B653E"/>
    <w:rsid w:val="005B674A"/>
    <w:rsid w:val="005B6A7B"/>
    <w:rsid w:val="005B787E"/>
    <w:rsid w:val="005B7DAF"/>
    <w:rsid w:val="005C08A5"/>
    <w:rsid w:val="005C1815"/>
    <w:rsid w:val="005C1F22"/>
    <w:rsid w:val="005C2071"/>
    <w:rsid w:val="005C23F8"/>
    <w:rsid w:val="005C2665"/>
    <w:rsid w:val="005C334B"/>
    <w:rsid w:val="005C36A9"/>
    <w:rsid w:val="005C3CC8"/>
    <w:rsid w:val="005C3EC9"/>
    <w:rsid w:val="005C470C"/>
    <w:rsid w:val="005C4A73"/>
    <w:rsid w:val="005C4CF8"/>
    <w:rsid w:val="005C5978"/>
    <w:rsid w:val="005C5F2B"/>
    <w:rsid w:val="005C77FE"/>
    <w:rsid w:val="005D01CA"/>
    <w:rsid w:val="005D0805"/>
    <w:rsid w:val="005D1058"/>
    <w:rsid w:val="005D1845"/>
    <w:rsid w:val="005D1DE2"/>
    <w:rsid w:val="005D281E"/>
    <w:rsid w:val="005D29AB"/>
    <w:rsid w:val="005D3418"/>
    <w:rsid w:val="005D3A47"/>
    <w:rsid w:val="005D3DF4"/>
    <w:rsid w:val="005D3E1E"/>
    <w:rsid w:val="005D483B"/>
    <w:rsid w:val="005D4A7C"/>
    <w:rsid w:val="005D4F82"/>
    <w:rsid w:val="005D5BAC"/>
    <w:rsid w:val="005D6AE9"/>
    <w:rsid w:val="005D6CFD"/>
    <w:rsid w:val="005D7118"/>
    <w:rsid w:val="005E0037"/>
    <w:rsid w:val="005E1893"/>
    <w:rsid w:val="005E2D65"/>
    <w:rsid w:val="005E3394"/>
    <w:rsid w:val="005E4101"/>
    <w:rsid w:val="005E4D76"/>
    <w:rsid w:val="005E4F26"/>
    <w:rsid w:val="005E6080"/>
    <w:rsid w:val="005E6F4C"/>
    <w:rsid w:val="005E767B"/>
    <w:rsid w:val="005E7FBA"/>
    <w:rsid w:val="005F0E62"/>
    <w:rsid w:val="005F0EDE"/>
    <w:rsid w:val="005F159A"/>
    <w:rsid w:val="005F16A6"/>
    <w:rsid w:val="005F1F41"/>
    <w:rsid w:val="005F25EB"/>
    <w:rsid w:val="005F26B7"/>
    <w:rsid w:val="005F3213"/>
    <w:rsid w:val="005F3381"/>
    <w:rsid w:val="005F4264"/>
    <w:rsid w:val="005F4752"/>
    <w:rsid w:val="005F49B1"/>
    <w:rsid w:val="005F5573"/>
    <w:rsid w:val="005F5FE1"/>
    <w:rsid w:val="005F651F"/>
    <w:rsid w:val="005F6D3B"/>
    <w:rsid w:val="005F7C9D"/>
    <w:rsid w:val="0060020A"/>
    <w:rsid w:val="006004E6"/>
    <w:rsid w:val="00600D2D"/>
    <w:rsid w:val="00600E5B"/>
    <w:rsid w:val="00600F27"/>
    <w:rsid w:val="00601888"/>
    <w:rsid w:val="00602134"/>
    <w:rsid w:val="00603275"/>
    <w:rsid w:val="00603B55"/>
    <w:rsid w:val="00603BA2"/>
    <w:rsid w:val="00603CFB"/>
    <w:rsid w:val="006050CF"/>
    <w:rsid w:val="00605192"/>
    <w:rsid w:val="006054F2"/>
    <w:rsid w:val="0060798A"/>
    <w:rsid w:val="00610047"/>
    <w:rsid w:val="006113F7"/>
    <w:rsid w:val="00611401"/>
    <w:rsid w:val="00611BD7"/>
    <w:rsid w:val="00611F3B"/>
    <w:rsid w:val="0061201F"/>
    <w:rsid w:val="00612396"/>
    <w:rsid w:val="006123A1"/>
    <w:rsid w:val="006123C3"/>
    <w:rsid w:val="00612CB7"/>
    <w:rsid w:val="0061316B"/>
    <w:rsid w:val="00615081"/>
    <w:rsid w:val="00615E5C"/>
    <w:rsid w:val="0061610E"/>
    <w:rsid w:val="006162C7"/>
    <w:rsid w:val="00616C89"/>
    <w:rsid w:val="00616CDE"/>
    <w:rsid w:val="006177DA"/>
    <w:rsid w:val="00620039"/>
    <w:rsid w:val="00620495"/>
    <w:rsid w:val="00620815"/>
    <w:rsid w:val="00620981"/>
    <w:rsid w:val="00621C7F"/>
    <w:rsid w:val="00621F31"/>
    <w:rsid w:val="00622729"/>
    <w:rsid w:val="00623313"/>
    <w:rsid w:val="00623950"/>
    <w:rsid w:val="00623997"/>
    <w:rsid w:val="00623DAA"/>
    <w:rsid w:val="00624A5B"/>
    <w:rsid w:val="006253F1"/>
    <w:rsid w:val="006264CD"/>
    <w:rsid w:val="006264E8"/>
    <w:rsid w:val="00626AB9"/>
    <w:rsid w:val="006278FE"/>
    <w:rsid w:val="00627CF1"/>
    <w:rsid w:val="006307C0"/>
    <w:rsid w:val="00630917"/>
    <w:rsid w:val="00631264"/>
    <w:rsid w:val="00631925"/>
    <w:rsid w:val="00631B05"/>
    <w:rsid w:val="00633BEE"/>
    <w:rsid w:val="00634252"/>
    <w:rsid w:val="0063534B"/>
    <w:rsid w:val="0063650F"/>
    <w:rsid w:val="0063725C"/>
    <w:rsid w:val="00637544"/>
    <w:rsid w:val="006377AC"/>
    <w:rsid w:val="0064007D"/>
    <w:rsid w:val="006401E5"/>
    <w:rsid w:val="00640D53"/>
    <w:rsid w:val="00641B11"/>
    <w:rsid w:val="00641C07"/>
    <w:rsid w:val="0064250D"/>
    <w:rsid w:val="006426FC"/>
    <w:rsid w:val="006430E8"/>
    <w:rsid w:val="00643462"/>
    <w:rsid w:val="00644EC6"/>
    <w:rsid w:val="0064594C"/>
    <w:rsid w:val="0064611B"/>
    <w:rsid w:val="0064614C"/>
    <w:rsid w:val="006463AC"/>
    <w:rsid w:val="00646ACC"/>
    <w:rsid w:val="00646C91"/>
    <w:rsid w:val="00646DE0"/>
    <w:rsid w:val="0064767E"/>
    <w:rsid w:val="00647926"/>
    <w:rsid w:val="00647E1A"/>
    <w:rsid w:val="006508C7"/>
    <w:rsid w:val="00651334"/>
    <w:rsid w:val="00651B6B"/>
    <w:rsid w:val="00652F0C"/>
    <w:rsid w:val="0065377A"/>
    <w:rsid w:val="00654026"/>
    <w:rsid w:val="00654F19"/>
    <w:rsid w:val="006557C2"/>
    <w:rsid w:val="00656CD7"/>
    <w:rsid w:val="006574E7"/>
    <w:rsid w:val="00657650"/>
    <w:rsid w:val="00657F85"/>
    <w:rsid w:val="006603C8"/>
    <w:rsid w:val="0066110F"/>
    <w:rsid w:val="0066182E"/>
    <w:rsid w:val="00661A8D"/>
    <w:rsid w:val="00661BC5"/>
    <w:rsid w:val="00662C25"/>
    <w:rsid w:val="00662C63"/>
    <w:rsid w:val="00662DE8"/>
    <w:rsid w:val="00662E28"/>
    <w:rsid w:val="0066363D"/>
    <w:rsid w:val="00663D52"/>
    <w:rsid w:val="006646B9"/>
    <w:rsid w:val="00665127"/>
    <w:rsid w:val="0066543A"/>
    <w:rsid w:val="00666354"/>
    <w:rsid w:val="00666920"/>
    <w:rsid w:val="00666BF8"/>
    <w:rsid w:val="00667CAF"/>
    <w:rsid w:val="00670942"/>
    <w:rsid w:val="00671986"/>
    <w:rsid w:val="00672610"/>
    <w:rsid w:val="00674745"/>
    <w:rsid w:val="00674C58"/>
    <w:rsid w:val="00674D89"/>
    <w:rsid w:val="00675469"/>
    <w:rsid w:val="006754A8"/>
    <w:rsid w:val="0067692F"/>
    <w:rsid w:val="00677B62"/>
    <w:rsid w:val="00677BC3"/>
    <w:rsid w:val="0068024B"/>
    <w:rsid w:val="00680388"/>
    <w:rsid w:val="006805FF"/>
    <w:rsid w:val="00680B75"/>
    <w:rsid w:val="006810DD"/>
    <w:rsid w:val="00681830"/>
    <w:rsid w:val="00681940"/>
    <w:rsid w:val="00681DF7"/>
    <w:rsid w:val="006821C2"/>
    <w:rsid w:val="0068371B"/>
    <w:rsid w:val="00683F0E"/>
    <w:rsid w:val="006846B6"/>
    <w:rsid w:val="00684A64"/>
    <w:rsid w:val="00684D9C"/>
    <w:rsid w:val="00684E4E"/>
    <w:rsid w:val="00685B11"/>
    <w:rsid w:val="00685CC3"/>
    <w:rsid w:val="00685DE5"/>
    <w:rsid w:val="00685F4B"/>
    <w:rsid w:val="00685FC5"/>
    <w:rsid w:val="0068653C"/>
    <w:rsid w:val="00686B5C"/>
    <w:rsid w:val="00686BEB"/>
    <w:rsid w:val="006873DB"/>
    <w:rsid w:val="00687470"/>
    <w:rsid w:val="00687A24"/>
    <w:rsid w:val="006903BB"/>
    <w:rsid w:val="00690492"/>
    <w:rsid w:val="0069061D"/>
    <w:rsid w:val="00690BB3"/>
    <w:rsid w:val="006915DC"/>
    <w:rsid w:val="006928EB"/>
    <w:rsid w:val="00693159"/>
    <w:rsid w:val="00693A6D"/>
    <w:rsid w:val="00693BE8"/>
    <w:rsid w:val="00693FBB"/>
    <w:rsid w:val="00694989"/>
    <w:rsid w:val="006962B0"/>
    <w:rsid w:val="00696BC1"/>
    <w:rsid w:val="00696D9B"/>
    <w:rsid w:val="00696F51"/>
    <w:rsid w:val="006972AD"/>
    <w:rsid w:val="00697EC2"/>
    <w:rsid w:val="006A0029"/>
    <w:rsid w:val="006A1459"/>
    <w:rsid w:val="006A18A7"/>
    <w:rsid w:val="006A2433"/>
    <w:rsid w:val="006A25AB"/>
    <w:rsid w:val="006A276A"/>
    <w:rsid w:val="006A3D86"/>
    <w:rsid w:val="006A3E9D"/>
    <w:rsid w:val="006A454B"/>
    <w:rsid w:val="006A595E"/>
    <w:rsid w:val="006A5B36"/>
    <w:rsid w:val="006A6327"/>
    <w:rsid w:val="006A63AF"/>
    <w:rsid w:val="006A63D9"/>
    <w:rsid w:val="006A6FF7"/>
    <w:rsid w:val="006A7CDA"/>
    <w:rsid w:val="006A7E85"/>
    <w:rsid w:val="006B0320"/>
    <w:rsid w:val="006B05E1"/>
    <w:rsid w:val="006B08A2"/>
    <w:rsid w:val="006B0CE3"/>
    <w:rsid w:val="006B0DD9"/>
    <w:rsid w:val="006B0F1D"/>
    <w:rsid w:val="006B0FC1"/>
    <w:rsid w:val="006B121A"/>
    <w:rsid w:val="006B1D33"/>
    <w:rsid w:val="006B2033"/>
    <w:rsid w:val="006B2DA8"/>
    <w:rsid w:val="006B31FF"/>
    <w:rsid w:val="006B3935"/>
    <w:rsid w:val="006B3D85"/>
    <w:rsid w:val="006B41C7"/>
    <w:rsid w:val="006B488F"/>
    <w:rsid w:val="006B503E"/>
    <w:rsid w:val="006B55F2"/>
    <w:rsid w:val="006B58BC"/>
    <w:rsid w:val="006B7725"/>
    <w:rsid w:val="006B775C"/>
    <w:rsid w:val="006C001F"/>
    <w:rsid w:val="006C0BB9"/>
    <w:rsid w:val="006C1423"/>
    <w:rsid w:val="006C18C0"/>
    <w:rsid w:val="006C1DCF"/>
    <w:rsid w:val="006C2487"/>
    <w:rsid w:val="006C263C"/>
    <w:rsid w:val="006C27A0"/>
    <w:rsid w:val="006C4C3B"/>
    <w:rsid w:val="006C5428"/>
    <w:rsid w:val="006C5FA3"/>
    <w:rsid w:val="006C62C5"/>
    <w:rsid w:val="006C702A"/>
    <w:rsid w:val="006C79D1"/>
    <w:rsid w:val="006D0931"/>
    <w:rsid w:val="006D0A20"/>
    <w:rsid w:val="006D0A59"/>
    <w:rsid w:val="006D1A01"/>
    <w:rsid w:val="006D1F07"/>
    <w:rsid w:val="006D21D8"/>
    <w:rsid w:val="006D28FF"/>
    <w:rsid w:val="006D2C05"/>
    <w:rsid w:val="006D3019"/>
    <w:rsid w:val="006D325E"/>
    <w:rsid w:val="006D34EA"/>
    <w:rsid w:val="006D3D08"/>
    <w:rsid w:val="006D45DB"/>
    <w:rsid w:val="006D4ACF"/>
    <w:rsid w:val="006D608E"/>
    <w:rsid w:val="006D60BD"/>
    <w:rsid w:val="006D6804"/>
    <w:rsid w:val="006D69A6"/>
    <w:rsid w:val="006D7745"/>
    <w:rsid w:val="006D7D4B"/>
    <w:rsid w:val="006E032E"/>
    <w:rsid w:val="006E0A96"/>
    <w:rsid w:val="006E0E83"/>
    <w:rsid w:val="006E12EF"/>
    <w:rsid w:val="006E1637"/>
    <w:rsid w:val="006E1821"/>
    <w:rsid w:val="006E25E6"/>
    <w:rsid w:val="006E2FAA"/>
    <w:rsid w:val="006E3099"/>
    <w:rsid w:val="006E3609"/>
    <w:rsid w:val="006E3B81"/>
    <w:rsid w:val="006E3BD6"/>
    <w:rsid w:val="006E4099"/>
    <w:rsid w:val="006E6D49"/>
    <w:rsid w:val="006E755B"/>
    <w:rsid w:val="006F051B"/>
    <w:rsid w:val="006F11F0"/>
    <w:rsid w:val="006F18FC"/>
    <w:rsid w:val="006F1F31"/>
    <w:rsid w:val="006F2483"/>
    <w:rsid w:val="006F2680"/>
    <w:rsid w:val="006F2967"/>
    <w:rsid w:val="006F2A7D"/>
    <w:rsid w:val="006F4B26"/>
    <w:rsid w:val="006F5459"/>
    <w:rsid w:val="006F5699"/>
    <w:rsid w:val="006F5709"/>
    <w:rsid w:val="006F5BA4"/>
    <w:rsid w:val="006F5D55"/>
    <w:rsid w:val="006F6F92"/>
    <w:rsid w:val="006F7BBE"/>
    <w:rsid w:val="0070015B"/>
    <w:rsid w:val="007002C8"/>
    <w:rsid w:val="0070093C"/>
    <w:rsid w:val="00700B81"/>
    <w:rsid w:val="0070184B"/>
    <w:rsid w:val="00701D81"/>
    <w:rsid w:val="00702125"/>
    <w:rsid w:val="0070234C"/>
    <w:rsid w:val="00702504"/>
    <w:rsid w:val="007035F4"/>
    <w:rsid w:val="007036DE"/>
    <w:rsid w:val="007040D0"/>
    <w:rsid w:val="00704465"/>
    <w:rsid w:val="00704932"/>
    <w:rsid w:val="00704A6B"/>
    <w:rsid w:val="00705ACF"/>
    <w:rsid w:val="0070615C"/>
    <w:rsid w:val="00706338"/>
    <w:rsid w:val="0070730B"/>
    <w:rsid w:val="00707A6B"/>
    <w:rsid w:val="00707B15"/>
    <w:rsid w:val="00710BB4"/>
    <w:rsid w:val="007110CD"/>
    <w:rsid w:val="00711A9C"/>
    <w:rsid w:val="007120F5"/>
    <w:rsid w:val="007127BB"/>
    <w:rsid w:val="00712A08"/>
    <w:rsid w:val="00712C3D"/>
    <w:rsid w:val="00712C98"/>
    <w:rsid w:val="00712D8A"/>
    <w:rsid w:val="00713B98"/>
    <w:rsid w:val="00713C5A"/>
    <w:rsid w:val="0071473D"/>
    <w:rsid w:val="00714792"/>
    <w:rsid w:val="007148A3"/>
    <w:rsid w:val="007154A9"/>
    <w:rsid w:val="007154AB"/>
    <w:rsid w:val="007155BB"/>
    <w:rsid w:val="00716105"/>
    <w:rsid w:val="00716805"/>
    <w:rsid w:val="00716DCC"/>
    <w:rsid w:val="00716FE8"/>
    <w:rsid w:val="007172AD"/>
    <w:rsid w:val="007175D3"/>
    <w:rsid w:val="00717C6B"/>
    <w:rsid w:val="007204B5"/>
    <w:rsid w:val="00720988"/>
    <w:rsid w:val="007209E6"/>
    <w:rsid w:val="00720F5B"/>
    <w:rsid w:val="00721480"/>
    <w:rsid w:val="00721570"/>
    <w:rsid w:val="00721822"/>
    <w:rsid w:val="00722587"/>
    <w:rsid w:val="0072277B"/>
    <w:rsid w:val="007232BA"/>
    <w:rsid w:val="00723E23"/>
    <w:rsid w:val="00724098"/>
    <w:rsid w:val="007242FB"/>
    <w:rsid w:val="007246B3"/>
    <w:rsid w:val="00724EBD"/>
    <w:rsid w:val="00724F74"/>
    <w:rsid w:val="007250B6"/>
    <w:rsid w:val="00725489"/>
    <w:rsid w:val="00726146"/>
    <w:rsid w:val="00726908"/>
    <w:rsid w:val="00726F7C"/>
    <w:rsid w:val="00727690"/>
    <w:rsid w:val="007278BC"/>
    <w:rsid w:val="00730ECC"/>
    <w:rsid w:val="00731026"/>
    <w:rsid w:val="0073148A"/>
    <w:rsid w:val="00731578"/>
    <w:rsid w:val="00731720"/>
    <w:rsid w:val="00731DCF"/>
    <w:rsid w:val="00731E16"/>
    <w:rsid w:val="00732664"/>
    <w:rsid w:val="007339D7"/>
    <w:rsid w:val="00733C16"/>
    <w:rsid w:val="007344E1"/>
    <w:rsid w:val="00734DD0"/>
    <w:rsid w:val="00734F56"/>
    <w:rsid w:val="00735012"/>
    <w:rsid w:val="00735045"/>
    <w:rsid w:val="007351A7"/>
    <w:rsid w:val="007358EC"/>
    <w:rsid w:val="00735A0E"/>
    <w:rsid w:val="00736068"/>
    <w:rsid w:val="007360B0"/>
    <w:rsid w:val="00736142"/>
    <w:rsid w:val="00736613"/>
    <w:rsid w:val="00736976"/>
    <w:rsid w:val="0073734C"/>
    <w:rsid w:val="00737E54"/>
    <w:rsid w:val="0074018E"/>
    <w:rsid w:val="007403C6"/>
    <w:rsid w:val="00740F12"/>
    <w:rsid w:val="00740FC8"/>
    <w:rsid w:val="00741998"/>
    <w:rsid w:val="00742889"/>
    <w:rsid w:val="00742A3F"/>
    <w:rsid w:val="0074303B"/>
    <w:rsid w:val="00743B0D"/>
    <w:rsid w:val="00743DB5"/>
    <w:rsid w:val="00744487"/>
    <w:rsid w:val="0074475A"/>
    <w:rsid w:val="0074568D"/>
    <w:rsid w:val="007457C2"/>
    <w:rsid w:val="00746790"/>
    <w:rsid w:val="00746833"/>
    <w:rsid w:val="00746941"/>
    <w:rsid w:val="00746A2C"/>
    <w:rsid w:val="00746E67"/>
    <w:rsid w:val="00747645"/>
    <w:rsid w:val="00747C6D"/>
    <w:rsid w:val="00747DBB"/>
    <w:rsid w:val="00747FA4"/>
    <w:rsid w:val="00750287"/>
    <w:rsid w:val="0075093B"/>
    <w:rsid w:val="00750C81"/>
    <w:rsid w:val="0075110F"/>
    <w:rsid w:val="0075131D"/>
    <w:rsid w:val="00751464"/>
    <w:rsid w:val="007519A2"/>
    <w:rsid w:val="00752630"/>
    <w:rsid w:val="00752B3E"/>
    <w:rsid w:val="00752E27"/>
    <w:rsid w:val="007536B9"/>
    <w:rsid w:val="007537B1"/>
    <w:rsid w:val="00754473"/>
    <w:rsid w:val="00754675"/>
    <w:rsid w:val="0075470B"/>
    <w:rsid w:val="0075577C"/>
    <w:rsid w:val="0075649D"/>
    <w:rsid w:val="00756E72"/>
    <w:rsid w:val="00756F5B"/>
    <w:rsid w:val="0075765A"/>
    <w:rsid w:val="007604C5"/>
    <w:rsid w:val="0076056C"/>
    <w:rsid w:val="00761075"/>
    <w:rsid w:val="007623C8"/>
    <w:rsid w:val="007628A9"/>
    <w:rsid w:val="007630F8"/>
    <w:rsid w:val="007638C9"/>
    <w:rsid w:val="007641F3"/>
    <w:rsid w:val="00764650"/>
    <w:rsid w:val="00764664"/>
    <w:rsid w:val="0076492E"/>
    <w:rsid w:val="0076499B"/>
    <w:rsid w:val="0076504A"/>
    <w:rsid w:val="007678FB"/>
    <w:rsid w:val="00767BF4"/>
    <w:rsid w:val="0077041A"/>
    <w:rsid w:val="007709C0"/>
    <w:rsid w:val="00770BBF"/>
    <w:rsid w:val="007714F8"/>
    <w:rsid w:val="00771BE7"/>
    <w:rsid w:val="0077287A"/>
    <w:rsid w:val="0077295B"/>
    <w:rsid w:val="00772CEC"/>
    <w:rsid w:val="00772F55"/>
    <w:rsid w:val="00773497"/>
    <w:rsid w:val="00774D65"/>
    <w:rsid w:val="00775209"/>
    <w:rsid w:val="00776F4C"/>
    <w:rsid w:val="007777E0"/>
    <w:rsid w:val="007805F3"/>
    <w:rsid w:val="0078196E"/>
    <w:rsid w:val="00781E9C"/>
    <w:rsid w:val="00783000"/>
    <w:rsid w:val="007835A2"/>
    <w:rsid w:val="0078432D"/>
    <w:rsid w:val="007846AF"/>
    <w:rsid w:val="00784C4B"/>
    <w:rsid w:val="00785AB4"/>
    <w:rsid w:val="00785B02"/>
    <w:rsid w:val="00787173"/>
    <w:rsid w:val="00787351"/>
    <w:rsid w:val="007877BC"/>
    <w:rsid w:val="00787F1A"/>
    <w:rsid w:val="007906C7"/>
    <w:rsid w:val="00790F4E"/>
    <w:rsid w:val="007911FC"/>
    <w:rsid w:val="00791DC8"/>
    <w:rsid w:val="0079242E"/>
    <w:rsid w:val="00792F9D"/>
    <w:rsid w:val="00793A5B"/>
    <w:rsid w:val="00793F57"/>
    <w:rsid w:val="00795420"/>
    <w:rsid w:val="007957AB"/>
    <w:rsid w:val="00795856"/>
    <w:rsid w:val="00797138"/>
    <w:rsid w:val="007A01F3"/>
    <w:rsid w:val="007A1C55"/>
    <w:rsid w:val="007A246D"/>
    <w:rsid w:val="007A3684"/>
    <w:rsid w:val="007A4E55"/>
    <w:rsid w:val="007A557B"/>
    <w:rsid w:val="007A6157"/>
    <w:rsid w:val="007A62CB"/>
    <w:rsid w:val="007A64E8"/>
    <w:rsid w:val="007A6791"/>
    <w:rsid w:val="007A6AD2"/>
    <w:rsid w:val="007A6BBD"/>
    <w:rsid w:val="007A7BCB"/>
    <w:rsid w:val="007A7BFA"/>
    <w:rsid w:val="007B0067"/>
    <w:rsid w:val="007B0CEC"/>
    <w:rsid w:val="007B1230"/>
    <w:rsid w:val="007B1B1F"/>
    <w:rsid w:val="007B1D12"/>
    <w:rsid w:val="007B201B"/>
    <w:rsid w:val="007B2D56"/>
    <w:rsid w:val="007B53AB"/>
    <w:rsid w:val="007B5431"/>
    <w:rsid w:val="007B55A0"/>
    <w:rsid w:val="007B55C9"/>
    <w:rsid w:val="007B5D3B"/>
    <w:rsid w:val="007B6439"/>
    <w:rsid w:val="007B6B9D"/>
    <w:rsid w:val="007B6BC5"/>
    <w:rsid w:val="007B6DE0"/>
    <w:rsid w:val="007B6F74"/>
    <w:rsid w:val="007B6FB4"/>
    <w:rsid w:val="007B704B"/>
    <w:rsid w:val="007B71FE"/>
    <w:rsid w:val="007B7440"/>
    <w:rsid w:val="007C061C"/>
    <w:rsid w:val="007C0B65"/>
    <w:rsid w:val="007C0E57"/>
    <w:rsid w:val="007C1034"/>
    <w:rsid w:val="007C1253"/>
    <w:rsid w:val="007C137F"/>
    <w:rsid w:val="007C1928"/>
    <w:rsid w:val="007C23A5"/>
    <w:rsid w:val="007C2B64"/>
    <w:rsid w:val="007C2BDA"/>
    <w:rsid w:val="007C367E"/>
    <w:rsid w:val="007C391E"/>
    <w:rsid w:val="007C3CA0"/>
    <w:rsid w:val="007C3D98"/>
    <w:rsid w:val="007C40A2"/>
    <w:rsid w:val="007C40C4"/>
    <w:rsid w:val="007C47A8"/>
    <w:rsid w:val="007C5C79"/>
    <w:rsid w:val="007C6B8B"/>
    <w:rsid w:val="007C6E76"/>
    <w:rsid w:val="007C71D1"/>
    <w:rsid w:val="007C725C"/>
    <w:rsid w:val="007C76D0"/>
    <w:rsid w:val="007C7DC2"/>
    <w:rsid w:val="007D0380"/>
    <w:rsid w:val="007D0C61"/>
    <w:rsid w:val="007D2339"/>
    <w:rsid w:val="007D294A"/>
    <w:rsid w:val="007D39EF"/>
    <w:rsid w:val="007D541E"/>
    <w:rsid w:val="007D6737"/>
    <w:rsid w:val="007D6C5B"/>
    <w:rsid w:val="007D6FE8"/>
    <w:rsid w:val="007D7105"/>
    <w:rsid w:val="007D74B3"/>
    <w:rsid w:val="007D76F7"/>
    <w:rsid w:val="007D7797"/>
    <w:rsid w:val="007D7BC1"/>
    <w:rsid w:val="007D7F06"/>
    <w:rsid w:val="007E02E4"/>
    <w:rsid w:val="007E0A04"/>
    <w:rsid w:val="007E0CD2"/>
    <w:rsid w:val="007E120B"/>
    <w:rsid w:val="007E1382"/>
    <w:rsid w:val="007E1B1A"/>
    <w:rsid w:val="007E1C7B"/>
    <w:rsid w:val="007E274E"/>
    <w:rsid w:val="007E2782"/>
    <w:rsid w:val="007E2945"/>
    <w:rsid w:val="007E3133"/>
    <w:rsid w:val="007E4E31"/>
    <w:rsid w:val="007E550F"/>
    <w:rsid w:val="007E5F6D"/>
    <w:rsid w:val="007E6253"/>
    <w:rsid w:val="007E6BC6"/>
    <w:rsid w:val="007E7DD4"/>
    <w:rsid w:val="007F0320"/>
    <w:rsid w:val="007F0572"/>
    <w:rsid w:val="007F0744"/>
    <w:rsid w:val="007F1484"/>
    <w:rsid w:val="007F1942"/>
    <w:rsid w:val="007F2CCC"/>
    <w:rsid w:val="007F370E"/>
    <w:rsid w:val="007F455C"/>
    <w:rsid w:val="007F4A55"/>
    <w:rsid w:val="007F4CED"/>
    <w:rsid w:val="007F5FD3"/>
    <w:rsid w:val="007F77E4"/>
    <w:rsid w:val="007F795B"/>
    <w:rsid w:val="008004D8"/>
    <w:rsid w:val="00800AE4"/>
    <w:rsid w:val="00800FC1"/>
    <w:rsid w:val="00801E62"/>
    <w:rsid w:val="00802603"/>
    <w:rsid w:val="008026C6"/>
    <w:rsid w:val="00802D79"/>
    <w:rsid w:val="00803897"/>
    <w:rsid w:val="00803C69"/>
    <w:rsid w:val="0080452F"/>
    <w:rsid w:val="00804609"/>
    <w:rsid w:val="00804A38"/>
    <w:rsid w:val="00804DC2"/>
    <w:rsid w:val="008051FE"/>
    <w:rsid w:val="008054E4"/>
    <w:rsid w:val="0080583E"/>
    <w:rsid w:val="00806FAF"/>
    <w:rsid w:val="00807914"/>
    <w:rsid w:val="00811DC4"/>
    <w:rsid w:val="00811E4A"/>
    <w:rsid w:val="00811F23"/>
    <w:rsid w:val="0081261B"/>
    <w:rsid w:val="00812768"/>
    <w:rsid w:val="00812BDB"/>
    <w:rsid w:val="00813585"/>
    <w:rsid w:val="00813E45"/>
    <w:rsid w:val="00814512"/>
    <w:rsid w:val="008145BD"/>
    <w:rsid w:val="0081472F"/>
    <w:rsid w:val="0081542A"/>
    <w:rsid w:val="00815FFC"/>
    <w:rsid w:val="008204CA"/>
    <w:rsid w:val="00820910"/>
    <w:rsid w:val="00820975"/>
    <w:rsid w:val="008209C0"/>
    <w:rsid w:val="00820B51"/>
    <w:rsid w:val="00820BC3"/>
    <w:rsid w:val="00821771"/>
    <w:rsid w:val="008217A6"/>
    <w:rsid w:val="00821BCE"/>
    <w:rsid w:val="00822583"/>
    <w:rsid w:val="008228B6"/>
    <w:rsid w:val="008230AA"/>
    <w:rsid w:val="008235A5"/>
    <w:rsid w:val="00824854"/>
    <w:rsid w:val="00824D44"/>
    <w:rsid w:val="0082539D"/>
    <w:rsid w:val="00825446"/>
    <w:rsid w:val="0082548A"/>
    <w:rsid w:val="00825708"/>
    <w:rsid w:val="00825B6F"/>
    <w:rsid w:val="00826268"/>
    <w:rsid w:val="008263AD"/>
    <w:rsid w:val="00826953"/>
    <w:rsid w:val="00826F75"/>
    <w:rsid w:val="00827987"/>
    <w:rsid w:val="0083012C"/>
    <w:rsid w:val="008319A2"/>
    <w:rsid w:val="00832233"/>
    <w:rsid w:val="00832D74"/>
    <w:rsid w:val="0083325E"/>
    <w:rsid w:val="00833AC2"/>
    <w:rsid w:val="00834096"/>
    <w:rsid w:val="008344D9"/>
    <w:rsid w:val="0083454F"/>
    <w:rsid w:val="008348C7"/>
    <w:rsid w:val="008353C4"/>
    <w:rsid w:val="00835B9D"/>
    <w:rsid w:val="00836757"/>
    <w:rsid w:val="00837414"/>
    <w:rsid w:val="00837700"/>
    <w:rsid w:val="0083796B"/>
    <w:rsid w:val="00837A41"/>
    <w:rsid w:val="008402F7"/>
    <w:rsid w:val="0084190E"/>
    <w:rsid w:val="00841ECE"/>
    <w:rsid w:val="00842A83"/>
    <w:rsid w:val="008430A2"/>
    <w:rsid w:val="008437EE"/>
    <w:rsid w:val="00844093"/>
    <w:rsid w:val="0084435A"/>
    <w:rsid w:val="00844558"/>
    <w:rsid w:val="00844F9A"/>
    <w:rsid w:val="00845C14"/>
    <w:rsid w:val="00845DBC"/>
    <w:rsid w:val="00846332"/>
    <w:rsid w:val="008464DF"/>
    <w:rsid w:val="00846852"/>
    <w:rsid w:val="00846CB9"/>
    <w:rsid w:val="008477EA"/>
    <w:rsid w:val="008501A1"/>
    <w:rsid w:val="008513C5"/>
    <w:rsid w:val="008514D0"/>
    <w:rsid w:val="00853F2E"/>
    <w:rsid w:val="008540AC"/>
    <w:rsid w:val="008543D5"/>
    <w:rsid w:val="00854654"/>
    <w:rsid w:val="00854B86"/>
    <w:rsid w:val="0085501F"/>
    <w:rsid w:val="00855509"/>
    <w:rsid w:val="00855947"/>
    <w:rsid w:val="00855B06"/>
    <w:rsid w:val="0085606B"/>
    <w:rsid w:val="00856947"/>
    <w:rsid w:val="008571BA"/>
    <w:rsid w:val="00857280"/>
    <w:rsid w:val="008573A0"/>
    <w:rsid w:val="0085748F"/>
    <w:rsid w:val="008577CC"/>
    <w:rsid w:val="0085784C"/>
    <w:rsid w:val="00857BAD"/>
    <w:rsid w:val="008609CB"/>
    <w:rsid w:val="008610C1"/>
    <w:rsid w:val="0086146C"/>
    <w:rsid w:val="00861D66"/>
    <w:rsid w:val="00861DCA"/>
    <w:rsid w:val="00862627"/>
    <w:rsid w:val="0086410B"/>
    <w:rsid w:val="00864326"/>
    <w:rsid w:val="00864BE3"/>
    <w:rsid w:val="00864D93"/>
    <w:rsid w:val="008651B2"/>
    <w:rsid w:val="008654FC"/>
    <w:rsid w:val="00865965"/>
    <w:rsid w:val="0086614F"/>
    <w:rsid w:val="00866569"/>
    <w:rsid w:val="00866723"/>
    <w:rsid w:val="00867F06"/>
    <w:rsid w:val="00870AA4"/>
    <w:rsid w:val="00870D9B"/>
    <w:rsid w:val="00870F83"/>
    <w:rsid w:val="0087103E"/>
    <w:rsid w:val="0087188C"/>
    <w:rsid w:val="008720EA"/>
    <w:rsid w:val="008727E0"/>
    <w:rsid w:val="00872FB6"/>
    <w:rsid w:val="008730E5"/>
    <w:rsid w:val="00873101"/>
    <w:rsid w:val="008737FF"/>
    <w:rsid w:val="00874430"/>
    <w:rsid w:val="0087504E"/>
    <w:rsid w:val="00875149"/>
    <w:rsid w:val="008752AC"/>
    <w:rsid w:val="008752EA"/>
    <w:rsid w:val="008755AC"/>
    <w:rsid w:val="0087591F"/>
    <w:rsid w:val="00875AC3"/>
    <w:rsid w:val="0087609E"/>
    <w:rsid w:val="00876BDC"/>
    <w:rsid w:val="00876F59"/>
    <w:rsid w:val="00877D57"/>
    <w:rsid w:val="0088008F"/>
    <w:rsid w:val="00880570"/>
    <w:rsid w:val="00880E1D"/>
    <w:rsid w:val="00880E49"/>
    <w:rsid w:val="0088103F"/>
    <w:rsid w:val="00881990"/>
    <w:rsid w:val="00881998"/>
    <w:rsid w:val="00881AA9"/>
    <w:rsid w:val="00881ABD"/>
    <w:rsid w:val="00882E9D"/>
    <w:rsid w:val="00883ADA"/>
    <w:rsid w:val="00884390"/>
    <w:rsid w:val="0088442C"/>
    <w:rsid w:val="00884977"/>
    <w:rsid w:val="0088498F"/>
    <w:rsid w:val="0088595A"/>
    <w:rsid w:val="00886C4A"/>
    <w:rsid w:val="00887DE0"/>
    <w:rsid w:val="00887ED6"/>
    <w:rsid w:val="00891407"/>
    <w:rsid w:val="00891B81"/>
    <w:rsid w:val="00891D82"/>
    <w:rsid w:val="00892CB3"/>
    <w:rsid w:val="008931D6"/>
    <w:rsid w:val="00894C1C"/>
    <w:rsid w:val="00894FDE"/>
    <w:rsid w:val="0089548E"/>
    <w:rsid w:val="0089658E"/>
    <w:rsid w:val="008A22D9"/>
    <w:rsid w:val="008A230B"/>
    <w:rsid w:val="008A2792"/>
    <w:rsid w:val="008A2A7D"/>
    <w:rsid w:val="008A2FD7"/>
    <w:rsid w:val="008A3627"/>
    <w:rsid w:val="008A36BB"/>
    <w:rsid w:val="008A4104"/>
    <w:rsid w:val="008A4437"/>
    <w:rsid w:val="008A4884"/>
    <w:rsid w:val="008A4B9A"/>
    <w:rsid w:val="008A4B9D"/>
    <w:rsid w:val="008A582B"/>
    <w:rsid w:val="008A589A"/>
    <w:rsid w:val="008A5ACE"/>
    <w:rsid w:val="008A5C9B"/>
    <w:rsid w:val="008A5D7E"/>
    <w:rsid w:val="008A67C9"/>
    <w:rsid w:val="008A6ABA"/>
    <w:rsid w:val="008A6D17"/>
    <w:rsid w:val="008A6FF0"/>
    <w:rsid w:val="008A72BD"/>
    <w:rsid w:val="008A791D"/>
    <w:rsid w:val="008A7F6D"/>
    <w:rsid w:val="008B11BB"/>
    <w:rsid w:val="008B16C1"/>
    <w:rsid w:val="008B1F0B"/>
    <w:rsid w:val="008B2079"/>
    <w:rsid w:val="008B2490"/>
    <w:rsid w:val="008B28AE"/>
    <w:rsid w:val="008B34D1"/>
    <w:rsid w:val="008B4255"/>
    <w:rsid w:val="008B4774"/>
    <w:rsid w:val="008B4E5A"/>
    <w:rsid w:val="008B52D3"/>
    <w:rsid w:val="008B5A12"/>
    <w:rsid w:val="008B61A6"/>
    <w:rsid w:val="008B6356"/>
    <w:rsid w:val="008B682F"/>
    <w:rsid w:val="008B708A"/>
    <w:rsid w:val="008B72E8"/>
    <w:rsid w:val="008B7617"/>
    <w:rsid w:val="008C09D6"/>
    <w:rsid w:val="008C0A6A"/>
    <w:rsid w:val="008C0AF6"/>
    <w:rsid w:val="008C183A"/>
    <w:rsid w:val="008C2373"/>
    <w:rsid w:val="008C26F5"/>
    <w:rsid w:val="008C2725"/>
    <w:rsid w:val="008C2C49"/>
    <w:rsid w:val="008C2E6D"/>
    <w:rsid w:val="008C3613"/>
    <w:rsid w:val="008C4534"/>
    <w:rsid w:val="008C4B6C"/>
    <w:rsid w:val="008C5370"/>
    <w:rsid w:val="008C53F2"/>
    <w:rsid w:val="008C62C4"/>
    <w:rsid w:val="008C63F3"/>
    <w:rsid w:val="008C672B"/>
    <w:rsid w:val="008C6C66"/>
    <w:rsid w:val="008C6D7D"/>
    <w:rsid w:val="008C7053"/>
    <w:rsid w:val="008C7600"/>
    <w:rsid w:val="008C7633"/>
    <w:rsid w:val="008C770C"/>
    <w:rsid w:val="008C7AF3"/>
    <w:rsid w:val="008C7BE1"/>
    <w:rsid w:val="008C7C42"/>
    <w:rsid w:val="008C7C68"/>
    <w:rsid w:val="008D11FC"/>
    <w:rsid w:val="008D173F"/>
    <w:rsid w:val="008D1998"/>
    <w:rsid w:val="008D1D09"/>
    <w:rsid w:val="008D25A4"/>
    <w:rsid w:val="008D2E67"/>
    <w:rsid w:val="008D3312"/>
    <w:rsid w:val="008D35EB"/>
    <w:rsid w:val="008D3B37"/>
    <w:rsid w:val="008D4502"/>
    <w:rsid w:val="008D5B24"/>
    <w:rsid w:val="008D6B97"/>
    <w:rsid w:val="008D78CD"/>
    <w:rsid w:val="008E0187"/>
    <w:rsid w:val="008E05D5"/>
    <w:rsid w:val="008E1651"/>
    <w:rsid w:val="008E1A62"/>
    <w:rsid w:val="008E221A"/>
    <w:rsid w:val="008E3724"/>
    <w:rsid w:val="008E3832"/>
    <w:rsid w:val="008E3D9D"/>
    <w:rsid w:val="008E504C"/>
    <w:rsid w:val="008E5634"/>
    <w:rsid w:val="008E5C3A"/>
    <w:rsid w:val="008E5DD7"/>
    <w:rsid w:val="008E6D1B"/>
    <w:rsid w:val="008E707E"/>
    <w:rsid w:val="008F04E8"/>
    <w:rsid w:val="008F0F30"/>
    <w:rsid w:val="008F17D2"/>
    <w:rsid w:val="008F18EF"/>
    <w:rsid w:val="008F1902"/>
    <w:rsid w:val="008F27C8"/>
    <w:rsid w:val="008F2836"/>
    <w:rsid w:val="008F410B"/>
    <w:rsid w:val="008F44FC"/>
    <w:rsid w:val="008F4D16"/>
    <w:rsid w:val="008F564F"/>
    <w:rsid w:val="008F69F1"/>
    <w:rsid w:val="008F764B"/>
    <w:rsid w:val="008F76FB"/>
    <w:rsid w:val="009001FF"/>
    <w:rsid w:val="00900B05"/>
    <w:rsid w:val="00901098"/>
    <w:rsid w:val="0090235F"/>
    <w:rsid w:val="009025E0"/>
    <w:rsid w:val="00902D59"/>
    <w:rsid w:val="00903C3B"/>
    <w:rsid w:val="00904CDA"/>
    <w:rsid w:val="00905497"/>
    <w:rsid w:val="00905CC0"/>
    <w:rsid w:val="00906D38"/>
    <w:rsid w:val="00907A05"/>
    <w:rsid w:val="00907C52"/>
    <w:rsid w:val="0091038D"/>
    <w:rsid w:val="00910DCB"/>
    <w:rsid w:val="00911324"/>
    <w:rsid w:val="00911331"/>
    <w:rsid w:val="00911B69"/>
    <w:rsid w:val="00911D37"/>
    <w:rsid w:val="009124BE"/>
    <w:rsid w:val="00912D6F"/>
    <w:rsid w:val="00913803"/>
    <w:rsid w:val="0091391F"/>
    <w:rsid w:val="00914110"/>
    <w:rsid w:val="0091431D"/>
    <w:rsid w:val="0091489E"/>
    <w:rsid w:val="00914996"/>
    <w:rsid w:val="009149C2"/>
    <w:rsid w:val="009150B2"/>
    <w:rsid w:val="00915585"/>
    <w:rsid w:val="0091588B"/>
    <w:rsid w:val="00915CF4"/>
    <w:rsid w:val="0091603F"/>
    <w:rsid w:val="00917976"/>
    <w:rsid w:val="00917A53"/>
    <w:rsid w:val="00917C8E"/>
    <w:rsid w:val="00917E17"/>
    <w:rsid w:val="009200FE"/>
    <w:rsid w:val="009209BC"/>
    <w:rsid w:val="00920C11"/>
    <w:rsid w:val="009211B1"/>
    <w:rsid w:val="009217AE"/>
    <w:rsid w:val="009217FD"/>
    <w:rsid w:val="00921E90"/>
    <w:rsid w:val="00922153"/>
    <w:rsid w:val="009222C3"/>
    <w:rsid w:val="00922683"/>
    <w:rsid w:val="00922BB2"/>
    <w:rsid w:val="00923752"/>
    <w:rsid w:val="00923FE4"/>
    <w:rsid w:val="009240B2"/>
    <w:rsid w:val="00924652"/>
    <w:rsid w:val="00924E48"/>
    <w:rsid w:val="00924F99"/>
    <w:rsid w:val="0092511D"/>
    <w:rsid w:val="00926575"/>
    <w:rsid w:val="009267B8"/>
    <w:rsid w:val="00926C67"/>
    <w:rsid w:val="00927148"/>
    <w:rsid w:val="0092734E"/>
    <w:rsid w:val="0092759D"/>
    <w:rsid w:val="00927DE6"/>
    <w:rsid w:val="0093093F"/>
    <w:rsid w:val="009309A3"/>
    <w:rsid w:val="00930DC8"/>
    <w:rsid w:val="00931064"/>
    <w:rsid w:val="009313BE"/>
    <w:rsid w:val="00931438"/>
    <w:rsid w:val="0093162F"/>
    <w:rsid w:val="009317BD"/>
    <w:rsid w:val="00931C71"/>
    <w:rsid w:val="0093427C"/>
    <w:rsid w:val="00934E50"/>
    <w:rsid w:val="00934E8F"/>
    <w:rsid w:val="0093529C"/>
    <w:rsid w:val="0093578E"/>
    <w:rsid w:val="009357D1"/>
    <w:rsid w:val="00935FDA"/>
    <w:rsid w:val="009377B6"/>
    <w:rsid w:val="009377FF"/>
    <w:rsid w:val="00937B19"/>
    <w:rsid w:val="009407D4"/>
    <w:rsid w:val="00940BB1"/>
    <w:rsid w:val="00940BB6"/>
    <w:rsid w:val="00940FDE"/>
    <w:rsid w:val="009412FB"/>
    <w:rsid w:val="00941421"/>
    <w:rsid w:val="00941CE1"/>
    <w:rsid w:val="00941FE8"/>
    <w:rsid w:val="00942201"/>
    <w:rsid w:val="00942D69"/>
    <w:rsid w:val="00942EDE"/>
    <w:rsid w:val="00943C59"/>
    <w:rsid w:val="009440AF"/>
    <w:rsid w:val="00944422"/>
    <w:rsid w:val="00945757"/>
    <w:rsid w:val="00945EEE"/>
    <w:rsid w:val="009463CD"/>
    <w:rsid w:val="0094756F"/>
    <w:rsid w:val="009478B0"/>
    <w:rsid w:val="00947A6E"/>
    <w:rsid w:val="00950B95"/>
    <w:rsid w:val="009526BC"/>
    <w:rsid w:val="00952F01"/>
    <w:rsid w:val="00953455"/>
    <w:rsid w:val="00953DC6"/>
    <w:rsid w:val="0095483C"/>
    <w:rsid w:val="00954B45"/>
    <w:rsid w:val="00955579"/>
    <w:rsid w:val="0095646B"/>
    <w:rsid w:val="00956595"/>
    <w:rsid w:val="0095779B"/>
    <w:rsid w:val="00957F28"/>
    <w:rsid w:val="00960582"/>
    <w:rsid w:val="00960A6E"/>
    <w:rsid w:val="009615C6"/>
    <w:rsid w:val="00961B71"/>
    <w:rsid w:val="00961BC9"/>
    <w:rsid w:val="00962174"/>
    <w:rsid w:val="00962267"/>
    <w:rsid w:val="009629EA"/>
    <w:rsid w:val="00962AD2"/>
    <w:rsid w:val="0096400E"/>
    <w:rsid w:val="00964348"/>
    <w:rsid w:val="00964B98"/>
    <w:rsid w:val="00965246"/>
    <w:rsid w:val="009653FE"/>
    <w:rsid w:val="00965458"/>
    <w:rsid w:val="009669BD"/>
    <w:rsid w:val="00966A98"/>
    <w:rsid w:val="00967680"/>
    <w:rsid w:val="00967ACB"/>
    <w:rsid w:val="00967BBB"/>
    <w:rsid w:val="00967EC9"/>
    <w:rsid w:val="009710BB"/>
    <w:rsid w:val="00971DE3"/>
    <w:rsid w:val="00972377"/>
    <w:rsid w:val="0097303F"/>
    <w:rsid w:val="00973985"/>
    <w:rsid w:val="009739E1"/>
    <w:rsid w:val="0097452B"/>
    <w:rsid w:val="00974773"/>
    <w:rsid w:val="00975AA7"/>
    <w:rsid w:val="00975C75"/>
    <w:rsid w:val="00976484"/>
    <w:rsid w:val="00976CF2"/>
    <w:rsid w:val="00977181"/>
    <w:rsid w:val="009778FE"/>
    <w:rsid w:val="00977ADD"/>
    <w:rsid w:val="00980672"/>
    <w:rsid w:val="00980D9A"/>
    <w:rsid w:val="00981963"/>
    <w:rsid w:val="0098249A"/>
    <w:rsid w:val="009826A4"/>
    <w:rsid w:val="00983439"/>
    <w:rsid w:val="00983DEA"/>
    <w:rsid w:val="00984F6F"/>
    <w:rsid w:val="009852EA"/>
    <w:rsid w:val="0098562C"/>
    <w:rsid w:val="00985CF0"/>
    <w:rsid w:val="0098608A"/>
    <w:rsid w:val="00986752"/>
    <w:rsid w:val="009869E8"/>
    <w:rsid w:val="00986AA2"/>
    <w:rsid w:val="00987637"/>
    <w:rsid w:val="00987E4E"/>
    <w:rsid w:val="00990D43"/>
    <w:rsid w:val="00991004"/>
    <w:rsid w:val="009911D6"/>
    <w:rsid w:val="0099185F"/>
    <w:rsid w:val="00991C15"/>
    <w:rsid w:val="00992AB6"/>
    <w:rsid w:val="00993202"/>
    <w:rsid w:val="009938F1"/>
    <w:rsid w:val="00995658"/>
    <w:rsid w:val="00995C71"/>
    <w:rsid w:val="00996317"/>
    <w:rsid w:val="0099657A"/>
    <w:rsid w:val="00997C8F"/>
    <w:rsid w:val="009A07C1"/>
    <w:rsid w:val="009A1989"/>
    <w:rsid w:val="009A1EC0"/>
    <w:rsid w:val="009A22A9"/>
    <w:rsid w:val="009A30B4"/>
    <w:rsid w:val="009A318F"/>
    <w:rsid w:val="009A4136"/>
    <w:rsid w:val="009A42EF"/>
    <w:rsid w:val="009A4A83"/>
    <w:rsid w:val="009A5D3D"/>
    <w:rsid w:val="009A667A"/>
    <w:rsid w:val="009A7215"/>
    <w:rsid w:val="009A7D65"/>
    <w:rsid w:val="009B01CD"/>
    <w:rsid w:val="009B0776"/>
    <w:rsid w:val="009B0C4C"/>
    <w:rsid w:val="009B17D9"/>
    <w:rsid w:val="009B1FA0"/>
    <w:rsid w:val="009B24EF"/>
    <w:rsid w:val="009B3474"/>
    <w:rsid w:val="009B3EDC"/>
    <w:rsid w:val="009B4B45"/>
    <w:rsid w:val="009B5BBA"/>
    <w:rsid w:val="009B61B7"/>
    <w:rsid w:val="009B735D"/>
    <w:rsid w:val="009B7DAD"/>
    <w:rsid w:val="009B7DC7"/>
    <w:rsid w:val="009B7E02"/>
    <w:rsid w:val="009C0580"/>
    <w:rsid w:val="009C082F"/>
    <w:rsid w:val="009C161A"/>
    <w:rsid w:val="009C226D"/>
    <w:rsid w:val="009C24C1"/>
    <w:rsid w:val="009C3244"/>
    <w:rsid w:val="009C3346"/>
    <w:rsid w:val="009C364B"/>
    <w:rsid w:val="009C3F8C"/>
    <w:rsid w:val="009C4A7C"/>
    <w:rsid w:val="009C4E33"/>
    <w:rsid w:val="009C50CD"/>
    <w:rsid w:val="009C5159"/>
    <w:rsid w:val="009C53EC"/>
    <w:rsid w:val="009C5B13"/>
    <w:rsid w:val="009C6137"/>
    <w:rsid w:val="009C6170"/>
    <w:rsid w:val="009C6382"/>
    <w:rsid w:val="009C6C3C"/>
    <w:rsid w:val="009C74D4"/>
    <w:rsid w:val="009D081A"/>
    <w:rsid w:val="009D19C4"/>
    <w:rsid w:val="009D1B90"/>
    <w:rsid w:val="009D1C22"/>
    <w:rsid w:val="009D25AD"/>
    <w:rsid w:val="009D2F82"/>
    <w:rsid w:val="009D366F"/>
    <w:rsid w:val="009D3E3E"/>
    <w:rsid w:val="009D3E62"/>
    <w:rsid w:val="009D5A7A"/>
    <w:rsid w:val="009E012E"/>
    <w:rsid w:val="009E09B6"/>
    <w:rsid w:val="009E0DAC"/>
    <w:rsid w:val="009E2229"/>
    <w:rsid w:val="009E29A9"/>
    <w:rsid w:val="009E2EAD"/>
    <w:rsid w:val="009E2F92"/>
    <w:rsid w:val="009E3163"/>
    <w:rsid w:val="009E3C26"/>
    <w:rsid w:val="009E3D26"/>
    <w:rsid w:val="009E4524"/>
    <w:rsid w:val="009E4757"/>
    <w:rsid w:val="009E4897"/>
    <w:rsid w:val="009E54A0"/>
    <w:rsid w:val="009E685B"/>
    <w:rsid w:val="009E68F3"/>
    <w:rsid w:val="009E7692"/>
    <w:rsid w:val="009E7EDE"/>
    <w:rsid w:val="009E7F47"/>
    <w:rsid w:val="009F0B41"/>
    <w:rsid w:val="009F196C"/>
    <w:rsid w:val="009F1A58"/>
    <w:rsid w:val="009F2899"/>
    <w:rsid w:val="009F2A31"/>
    <w:rsid w:val="009F2A50"/>
    <w:rsid w:val="009F2FED"/>
    <w:rsid w:val="009F4929"/>
    <w:rsid w:val="009F49AD"/>
    <w:rsid w:val="009F6029"/>
    <w:rsid w:val="009F61F5"/>
    <w:rsid w:val="009F68BE"/>
    <w:rsid w:val="009F726B"/>
    <w:rsid w:val="009F7384"/>
    <w:rsid w:val="009F7727"/>
    <w:rsid w:val="009F7FCF"/>
    <w:rsid w:val="00A00351"/>
    <w:rsid w:val="00A0049A"/>
    <w:rsid w:val="00A006B1"/>
    <w:rsid w:val="00A00B8E"/>
    <w:rsid w:val="00A01380"/>
    <w:rsid w:val="00A015C0"/>
    <w:rsid w:val="00A01766"/>
    <w:rsid w:val="00A01DE3"/>
    <w:rsid w:val="00A02A6D"/>
    <w:rsid w:val="00A03B69"/>
    <w:rsid w:val="00A03FA2"/>
    <w:rsid w:val="00A0712A"/>
    <w:rsid w:val="00A10877"/>
    <w:rsid w:val="00A127B3"/>
    <w:rsid w:val="00A12A45"/>
    <w:rsid w:val="00A1388A"/>
    <w:rsid w:val="00A139BB"/>
    <w:rsid w:val="00A143A1"/>
    <w:rsid w:val="00A1447F"/>
    <w:rsid w:val="00A14874"/>
    <w:rsid w:val="00A14A27"/>
    <w:rsid w:val="00A15660"/>
    <w:rsid w:val="00A16F86"/>
    <w:rsid w:val="00A1712E"/>
    <w:rsid w:val="00A17952"/>
    <w:rsid w:val="00A17C7D"/>
    <w:rsid w:val="00A2077E"/>
    <w:rsid w:val="00A22943"/>
    <w:rsid w:val="00A2314B"/>
    <w:rsid w:val="00A231D1"/>
    <w:rsid w:val="00A23646"/>
    <w:rsid w:val="00A238B9"/>
    <w:rsid w:val="00A23D76"/>
    <w:rsid w:val="00A23D91"/>
    <w:rsid w:val="00A23FEB"/>
    <w:rsid w:val="00A2521B"/>
    <w:rsid w:val="00A25303"/>
    <w:rsid w:val="00A259A9"/>
    <w:rsid w:val="00A267BE"/>
    <w:rsid w:val="00A269F4"/>
    <w:rsid w:val="00A278F0"/>
    <w:rsid w:val="00A3034D"/>
    <w:rsid w:val="00A30AF1"/>
    <w:rsid w:val="00A319FB"/>
    <w:rsid w:val="00A3235E"/>
    <w:rsid w:val="00A332C0"/>
    <w:rsid w:val="00A334A7"/>
    <w:rsid w:val="00A358AC"/>
    <w:rsid w:val="00A35D39"/>
    <w:rsid w:val="00A3628B"/>
    <w:rsid w:val="00A3682E"/>
    <w:rsid w:val="00A36D29"/>
    <w:rsid w:val="00A36DCE"/>
    <w:rsid w:val="00A37387"/>
    <w:rsid w:val="00A373D8"/>
    <w:rsid w:val="00A375E5"/>
    <w:rsid w:val="00A376FB"/>
    <w:rsid w:val="00A37856"/>
    <w:rsid w:val="00A37B67"/>
    <w:rsid w:val="00A4006A"/>
    <w:rsid w:val="00A402FD"/>
    <w:rsid w:val="00A40DCD"/>
    <w:rsid w:val="00A411E6"/>
    <w:rsid w:val="00A413E7"/>
    <w:rsid w:val="00A41853"/>
    <w:rsid w:val="00A41B43"/>
    <w:rsid w:val="00A41D0B"/>
    <w:rsid w:val="00A41E87"/>
    <w:rsid w:val="00A41FEA"/>
    <w:rsid w:val="00A42830"/>
    <w:rsid w:val="00A42AA5"/>
    <w:rsid w:val="00A4343A"/>
    <w:rsid w:val="00A43B7F"/>
    <w:rsid w:val="00A43D06"/>
    <w:rsid w:val="00A43DE1"/>
    <w:rsid w:val="00A44189"/>
    <w:rsid w:val="00A45117"/>
    <w:rsid w:val="00A455A6"/>
    <w:rsid w:val="00A4574C"/>
    <w:rsid w:val="00A45D3B"/>
    <w:rsid w:val="00A45DED"/>
    <w:rsid w:val="00A46845"/>
    <w:rsid w:val="00A469D5"/>
    <w:rsid w:val="00A46C8C"/>
    <w:rsid w:val="00A46D25"/>
    <w:rsid w:val="00A46FEB"/>
    <w:rsid w:val="00A4786A"/>
    <w:rsid w:val="00A5048C"/>
    <w:rsid w:val="00A50B64"/>
    <w:rsid w:val="00A50DEF"/>
    <w:rsid w:val="00A51447"/>
    <w:rsid w:val="00A51980"/>
    <w:rsid w:val="00A519B3"/>
    <w:rsid w:val="00A526C2"/>
    <w:rsid w:val="00A53348"/>
    <w:rsid w:val="00A535D4"/>
    <w:rsid w:val="00A5370C"/>
    <w:rsid w:val="00A5377D"/>
    <w:rsid w:val="00A546B5"/>
    <w:rsid w:val="00A54EE6"/>
    <w:rsid w:val="00A55056"/>
    <w:rsid w:val="00A55CC8"/>
    <w:rsid w:val="00A55D73"/>
    <w:rsid w:val="00A57691"/>
    <w:rsid w:val="00A57B23"/>
    <w:rsid w:val="00A60005"/>
    <w:rsid w:val="00A602BB"/>
    <w:rsid w:val="00A60331"/>
    <w:rsid w:val="00A60DDB"/>
    <w:rsid w:val="00A615DA"/>
    <w:rsid w:val="00A627E6"/>
    <w:rsid w:val="00A628A2"/>
    <w:rsid w:val="00A63779"/>
    <w:rsid w:val="00A63CC6"/>
    <w:rsid w:val="00A646D7"/>
    <w:rsid w:val="00A64D72"/>
    <w:rsid w:val="00A64DF8"/>
    <w:rsid w:val="00A66251"/>
    <w:rsid w:val="00A675DC"/>
    <w:rsid w:val="00A67698"/>
    <w:rsid w:val="00A678AF"/>
    <w:rsid w:val="00A7147C"/>
    <w:rsid w:val="00A714DB"/>
    <w:rsid w:val="00A7192A"/>
    <w:rsid w:val="00A71A71"/>
    <w:rsid w:val="00A71DD8"/>
    <w:rsid w:val="00A71E30"/>
    <w:rsid w:val="00A7347F"/>
    <w:rsid w:val="00A73510"/>
    <w:rsid w:val="00A735C8"/>
    <w:rsid w:val="00A736A2"/>
    <w:rsid w:val="00A7395B"/>
    <w:rsid w:val="00A74147"/>
    <w:rsid w:val="00A742B6"/>
    <w:rsid w:val="00A746A2"/>
    <w:rsid w:val="00A746CC"/>
    <w:rsid w:val="00A74C1B"/>
    <w:rsid w:val="00A750C2"/>
    <w:rsid w:val="00A751E6"/>
    <w:rsid w:val="00A75427"/>
    <w:rsid w:val="00A760CE"/>
    <w:rsid w:val="00A76441"/>
    <w:rsid w:val="00A7685A"/>
    <w:rsid w:val="00A77528"/>
    <w:rsid w:val="00A77ABE"/>
    <w:rsid w:val="00A80986"/>
    <w:rsid w:val="00A80EB2"/>
    <w:rsid w:val="00A81614"/>
    <w:rsid w:val="00A8367F"/>
    <w:rsid w:val="00A84092"/>
    <w:rsid w:val="00A84EF9"/>
    <w:rsid w:val="00A85B60"/>
    <w:rsid w:val="00A86745"/>
    <w:rsid w:val="00A86C9F"/>
    <w:rsid w:val="00A86FFC"/>
    <w:rsid w:val="00A870C5"/>
    <w:rsid w:val="00A872A0"/>
    <w:rsid w:val="00A872B9"/>
    <w:rsid w:val="00A873D3"/>
    <w:rsid w:val="00A87D5C"/>
    <w:rsid w:val="00A87E60"/>
    <w:rsid w:val="00A9031E"/>
    <w:rsid w:val="00A90452"/>
    <w:rsid w:val="00A90D5D"/>
    <w:rsid w:val="00A90E64"/>
    <w:rsid w:val="00A91116"/>
    <w:rsid w:val="00A91292"/>
    <w:rsid w:val="00A91982"/>
    <w:rsid w:val="00A92151"/>
    <w:rsid w:val="00A9328B"/>
    <w:rsid w:val="00A942DE"/>
    <w:rsid w:val="00A94717"/>
    <w:rsid w:val="00A955B8"/>
    <w:rsid w:val="00A95DB8"/>
    <w:rsid w:val="00A96116"/>
    <w:rsid w:val="00A9682E"/>
    <w:rsid w:val="00A96E1A"/>
    <w:rsid w:val="00A97251"/>
    <w:rsid w:val="00A972AF"/>
    <w:rsid w:val="00A97A5F"/>
    <w:rsid w:val="00A97DD7"/>
    <w:rsid w:val="00AA0003"/>
    <w:rsid w:val="00AA0F62"/>
    <w:rsid w:val="00AA2323"/>
    <w:rsid w:val="00AA2BBC"/>
    <w:rsid w:val="00AA2E43"/>
    <w:rsid w:val="00AA47F5"/>
    <w:rsid w:val="00AA4C71"/>
    <w:rsid w:val="00AA5F27"/>
    <w:rsid w:val="00AA6041"/>
    <w:rsid w:val="00AA6266"/>
    <w:rsid w:val="00AA6BD0"/>
    <w:rsid w:val="00AA7C0C"/>
    <w:rsid w:val="00AA7C80"/>
    <w:rsid w:val="00AA7E1C"/>
    <w:rsid w:val="00AA7FB9"/>
    <w:rsid w:val="00AB004B"/>
    <w:rsid w:val="00AB172F"/>
    <w:rsid w:val="00AB184A"/>
    <w:rsid w:val="00AB1B7B"/>
    <w:rsid w:val="00AB1CB4"/>
    <w:rsid w:val="00AB210C"/>
    <w:rsid w:val="00AB23FA"/>
    <w:rsid w:val="00AB2783"/>
    <w:rsid w:val="00AB2B74"/>
    <w:rsid w:val="00AB4F72"/>
    <w:rsid w:val="00AB51C4"/>
    <w:rsid w:val="00AB5275"/>
    <w:rsid w:val="00AB5F9B"/>
    <w:rsid w:val="00AB7708"/>
    <w:rsid w:val="00AB77AB"/>
    <w:rsid w:val="00AB7CE5"/>
    <w:rsid w:val="00AC02A6"/>
    <w:rsid w:val="00AC085B"/>
    <w:rsid w:val="00AC0CC2"/>
    <w:rsid w:val="00AC1AAC"/>
    <w:rsid w:val="00AC1BA5"/>
    <w:rsid w:val="00AC221B"/>
    <w:rsid w:val="00AC2BD7"/>
    <w:rsid w:val="00AC2D21"/>
    <w:rsid w:val="00AC33B3"/>
    <w:rsid w:val="00AC3C5A"/>
    <w:rsid w:val="00AC4A2B"/>
    <w:rsid w:val="00AC4B54"/>
    <w:rsid w:val="00AC4C49"/>
    <w:rsid w:val="00AC506F"/>
    <w:rsid w:val="00AC51D8"/>
    <w:rsid w:val="00AC52E6"/>
    <w:rsid w:val="00AC5DFB"/>
    <w:rsid w:val="00AC643D"/>
    <w:rsid w:val="00AC77CE"/>
    <w:rsid w:val="00AC7835"/>
    <w:rsid w:val="00AC7854"/>
    <w:rsid w:val="00AD08D3"/>
    <w:rsid w:val="00AD1E8C"/>
    <w:rsid w:val="00AD27ED"/>
    <w:rsid w:val="00AD2885"/>
    <w:rsid w:val="00AD2E0F"/>
    <w:rsid w:val="00AD41A4"/>
    <w:rsid w:val="00AD4217"/>
    <w:rsid w:val="00AD5CB5"/>
    <w:rsid w:val="00AD6084"/>
    <w:rsid w:val="00AD6F83"/>
    <w:rsid w:val="00AD7C1D"/>
    <w:rsid w:val="00AE1469"/>
    <w:rsid w:val="00AE29F9"/>
    <w:rsid w:val="00AE32F4"/>
    <w:rsid w:val="00AE3DA0"/>
    <w:rsid w:val="00AE3E77"/>
    <w:rsid w:val="00AE3E87"/>
    <w:rsid w:val="00AE4548"/>
    <w:rsid w:val="00AE537D"/>
    <w:rsid w:val="00AE5FA9"/>
    <w:rsid w:val="00AE73EB"/>
    <w:rsid w:val="00AF0889"/>
    <w:rsid w:val="00AF08AE"/>
    <w:rsid w:val="00AF0C44"/>
    <w:rsid w:val="00AF1D40"/>
    <w:rsid w:val="00AF24F6"/>
    <w:rsid w:val="00AF2BDC"/>
    <w:rsid w:val="00AF2CB4"/>
    <w:rsid w:val="00AF2D84"/>
    <w:rsid w:val="00AF33C8"/>
    <w:rsid w:val="00AF3CF6"/>
    <w:rsid w:val="00AF3F6C"/>
    <w:rsid w:val="00AF4601"/>
    <w:rsid w:val="00AF51DA"/>
    <w:rsid w:val="00AF6006"/>
    <w:rsid w:val="00AF6163"/>
    <w:rsid w:val="00AF7784"/>
    <w:rsid w:val="00AF7B42"/>
    <w:rsid w:val="00B01119"/>
    <w:rsid w:val="00B020C9"/>
    <w:rsid w:val="00B0236A"/>
    <w:rsid w:val="00B033F5"/>
    <w:rsid w:val="00B0381F"/>
    <w:rsid w:val="00B03E30"/>
    <w:rsid w:val="00B047E7"/>
    <w:rsid w:val="00B04F53"/>
    <w:rsid w:val="00B051BE"/>
    <w:rsid w:val="00B05CD2"/>
    <w:rsid w:val="00B05F27"/>
    <w:rsid w:val="00B0625E"/>
    <w:rsid w:val="00B07E51"/>
    <w:rsid w:val="00B10060"/>
    <w:rsid w:val="00B102F2"/>
    <w:rsid w:val="00B109EE"/>
    <w:rsid w:val="00B10AA2"/>
    <w:rsid w:val="00B10E78"/>
    <w:rsid w:val="00B11034"/>
    <w:rsid w:val="00B12051"/>
    <w:rsid w:val="00B1221E"/>
    <w:rsid w:val="00B123CC"/>
    <w:rsid w:val="00B12FD7"/>
    <w:rsid w:val="00B13691"/>
    <w:rsid w:val="00B13F49"/>
    <w:rsid w:val="00B15B71"/>
    <w:rsid w:val="00B15FA0"/>
    <w:rsid w:val="00B16CA6"/>
    <w:rsid w:val="00B17128"/>
    <w:rsid w:val="00B17287"/>
    <w:rsid w:val="00B178CB"/>
    <w:rsid w:val="00B20125"/>
    <w:rsid w:val="00B20156"/>
    <w:rsid w:val="00B20575"/>
    <w:rsid w:val="00B207E6"/>
    <w:rsid w:val="00B20956"/>
    <w:rsid w:val="00B20E88"/>
    <w:rsid w:val="00B20EF8"/>
    <w:rsid w:val="00B22384"/>
    <w:rsid w:val="00B2282D"/>
    <w:rsid w:val="00B22ED2"/>
    <w:rsid w:val="00B233B0"/>
    <w:rsid w:val="00B237F6"/>
    <w:rsid w:val="00B24622"/>
    <w:rsid w:val="00B24B1E"/>
    <w:rsid w:val="00B24DFB"/>
    <w:rsid w:val="00B2593B"/>
    <w:rsid w:val="00B26513"/>
    <w:rsid w:val="00B27223"/>
    <w:rsid w:val="00B274D1"/>
    <w:rsid w:val="00B302DE"/>
    <w:rsid w:val="00B30562"/>
    <w:rsid w:val="00B316D5"/>
    <w:rsid w:val="00B31B0F"/>
    <w:rsid w:val="00B3246A"/>
    <w:rsid w:val="00B325A7"/>
    <w:rsid w:val="00B337CB"/>
    <w:rsid w:val="00B3388B"/>
    <w:rsid w:val="00B33977"/>
    <w:rsid w:val="00B3402A"/>
    <w:rsid w:val="00B343D6"/>
    <w:rsid w:val="00B35B75"/>
    <w:rsid w:val="00B35DC7"/>
    <w:rsid w:val="00B35F8A"/>
    <w:rsid w:val="00B36C23"/>
    <w:rsid w:val="00B36DC7"/>
    <w:rsid w:val="00B371B7"/>
    <w:rsid w:val="00B371F5"/>
    <w:rsid w:val="00B37B8E"/>
    <w:rsid w:val="00B40664"/>
    <w:rsid w:val="00B40A86"/>
    <w:rsid w:val="00B40BCB"/>
    <w:rsid w:val="00B4159C"/>
    <w:rsid w:val="00B42877"/>
    <w:rsid w:val="00B434D8"/>
    <w:rsid w:val="00B446F3"/>
    <w:rsid w:val="00B44B91"/>
    <w:rsid w:val="00B45C31"/>
    <w:rsid w:val="00B45CA4"/>
    <w:rsid w:val="00B462A9"/>
    <w:rsid w:val="00B462F8"/>
    <w:rsid w:val="00B463E2"/>
    <w:rsid w:val="00B4700B"/>
    <w:rsid w:val="00B47A63"/>
    <w:rsid w:val="00B501BC"/>
    <w:rsid w:val="00B50279"/>
    <w:rsid w:val="00B50B14"/>
    <w:rsid w:val="00B50D22"/>
    <w:rsid w:val="00B51B27"/>
    <w:rsid w:val="00B520B6"/>
    <w:rsid w:val="00B52946"/>
    <w:rsid w:val="00B52A70"/>
    <w:rsid w:val="00B54B9E"/>
    <w:rsid w:val="00B54BD6"/>
    <w:rsid w:val="00B55218"/>
    <w:rsid w:val="00B5565B"/>
    <w:rsid w:val="00B55A89"/>
    <w:rsid w:val="00B55DB8"/>
    <w:rsid w:val="00B573B0"/>
    <w:rsid w:val="00B600D9"/>
    <w:rsid w:val="00B60A51"/>
    <w:rsid w:val="00B60CB4"/>
    <w:rsid w:val="00B60EF5"/>
    <w:rsid w:val="00B60F42"/>
    <w:rsid w:val="00B617C6"/>
    <w:rsid w:val="00B623EE"/>
    <w:rsid w:val="00B637C8"/>
    <w:rsid w:val="00B655B3"/>
    <w:rsid w:val="00B65A10"/>
    <w:rsid w:val="00B66497"/>
    <w:rsid w:val="00B66B97"/>
    <w:rsid w:val="00B66F21"/>
    <w:rsid w:val="00B673EA"/>
    <w:rsid w:val="00B679B7"/>
    <w:rsid w:val="00B67D03"/>
    <w:rsid w:val="00B7042D"/>
    <w:rsid w:val="00B7077E"/>
    <w:rsid w:val="00B70D8D"/>
    <w:rsid w:val="00B72319"/>
    <w:rsid w:val="00B725A8"/>
    <w:rsid w:val="00B72F1E"/>
    <w:rsid w:val="00B73A7B"/>
    <w:rsid w:val="00B7475B"/>
    <w:rsid w:val="00B74BF4"/>
    <w:rsid w:val="00B7523B"/>
    <w:rsid w:val="00B756DB"/>
    <w:rsid w:val="00B757BB"/>
    <w:rsid w:val="00B75B9F"/>
    <w:rsid w:val="00B76097"/>
    <w:rsid w:val="00B760E1"/>
    <w:rsid w:val="00B7610E"/>
    <w:rsid w:val="00B76393"/>
    <w:rsid w:val="00B76BDD"/>
    <w:rsid w:val="00B76D59"/>
    <w:rsid w:val="00B81573"/>
    <w:rsid w:val="00B82164"/>
    <w:rsid w:val="00B821E7"/>
    <w:rsid w:val="00B823BE"/>
    <w:rsid w:val="00B82DB5"/>
    <w:rsid w:val="00B82FF7"/>
    <w:rsid w:val="00B83D4D"/>
    <w:rsid w:val="00B849B9"/>
    <w:rsid w:val="00B84CBD"/>
    <w:rsid w:val="00B854DE"/>
    <w:rsid w:val="00B85579"/>
    <w:rsid w:val="00B87710"/>
    <w:rsid w:val="00B87AEA"/>
    <w:rsid w:val="00B9015A"/>
    <w:rsid w:val="00B90DF3"/>
    <w:rsid w:val="00B9108D"/>
    <w:rsid w:val="00B93FD8"/>
    <w:rsid w:val="00B94110"/>
    <w:rsid w:val="00B94D8F"/>
    <w:rsid w:val="00B95773"/>
    <w:rsid w:val="00B95E39"/>
    <w:rsid w:val="00B965A2"/>
    <w:rsid w:val="00B965B0"/>
    <w:rsid w:val="00B96A8C"/>
    <w:rsid w:val="00BA08E0"/>
    <w:rsid w:val="00BA094F"/>
    <w:rsid w:val="00BA0E7F"/>
    <w:rsid w:val="00BA1929"/>
    <w:rsid w:val="00BA1BB4"/>
    <w:rsid w:val="00BA1D21"/>
    <w:rsid w:val="00BA253F"/>
    <w:rsid w:val="00BA2AC0"/>
    <w:rsid w:val="00BA2EC7"/>
    <w:rsid w:val="00BA3910"/>
    <w:rsid w:val="00BA394A"/>
    <w:rsid w:val="00BA3CF3"/>
    <w:rsid w:val="00BA47A2"/>
    <w:rsid w:val="00BA526F"/>
    <w:rsid w:val="00BA558B"/>
    <w:rsid w:val="00BA6060"/>
    <w:rsid w:val="00BA671F"/>
    <w:rsid w:val="00BA6AA7"/>
    <w:rsid w:val="00BA6D6B"/>
    <w:rsid w:val="00BA717B"/>
    <w:rsid w:val="00BA73D6"/>
    <w:rsid w:val="00BB1122"/>
    <w:rsid w:val="00BB1299"/>
    <w:rsid w:val="00BB144F"/>
    <w:rsid w:val="00BB1469"/>
    <w:rsid w:val="00BB16B0"/>
    <w:rsid w:val="00BB1719"/>
    <w:rsid w:val="00BB2311"/>
    <w:rsid w:val="00BB2BE9"/>
    <w:rsid w:val="00BB3B5C"/>
    <w:rsid w:val="00BB453E"/>
    <w:rsid w:val="00BB4CFF"/>
    <w:rsid w:val="00BB5682"/>
    <w:rsid w:val="00BB5EB7"/>
    <w:rsid w:val="00BB61FA"/>
    <w:rsid w:val="00BB6948"/>
    <w:rsid w:val="00BB6BB7"/>
    <w:rsid w:val="00BB6EE2"/>
    <w:rsid w:val="00BB712E"/>
    <w:rsid w:val="00BB7D75"/>
    <w:rsid w:val="00BC12C2"/>
    <w:rsid w:val="00BC1322"/>
    <w:rsid w:val="00BC1D80"/>
    <w:rsid w:val="00BC28F9"/>
    <w:rsid w:val="00BC2925"/>
    <w:rsid w:val="00BC36FF"/>
    <w:rsid w:val="00BC39DE"/>
    <w:rsid w:val="00BC4027"/>
    <w:rsid w:val="00BC41A7"/>
    <w:rsid w:val="00BC476B"/>
    <w:rsid w:val="00BC49F4"/>
    <w:rsid w:val="00BC4A43"/>
    <w:rsid w:val="00BC523F"/>
    <w:rsid w:val="00BC5592"/>
    <w:rsid w:val="00BC608C"/>
    <w:rsid w:val="00BC65D3"/>
    <w:rsid w:val="00BC66FB"/>
    <w:rsid w:val="00BC70A2"/>
    <w:rsid w:val="00BC71F8"/>
    <w:rsid w:val="00BC7297"/>
    <w:rsid w:val="00BC75B2"/>
    <w:rsid w:val="00BD08F8"/>
    <w:rsid w:val="00BD0EB0"/>
    <w:rsid w:val="00BD14B8"/>
    <w:rsid w:val="00BD1BBB"/>
    <w:rsid w:val="00BD21F2"/>
    <w:rsid w:val="00BD239E"/>
    <w:rsid w:val="00BD2653"/>
    <w:rsid w:val="00BD2BCB"/>
    <w:rsid w:val="00BD3390"/>
    <w:rsid w:val="00BD3532"/>
    <w:rsid w:val="00BD3BE2"/>
    <w:rsid w:val="00BD4160"/>
    <w:rsid w:val="00BD4A56"/>
    <w:rsid w:val="00BD4D15"/>
    <w:rsid w:val="00BD4E22"/>
    <w:rsid w:val="00BD4FEC"/>
    <w:rsid w:val="00BD53AF"/>
    <w:rsid w:val="00BD5415"/>
    <w:rsid w:val="00BD62E3"/>
    <w:rsid w:val="00BD683D"/>
    <w:rsid w:val="00BD6865"/>
    <w:rsid w:val="00BD6877"/>
    <w:rsid w:val="00BD6FDC"/>
    <w:rsid w:val="00BD766B"/>
    <w:rsid w:val="00BD7BD7"/>
    <w:rsid w:val="00BD7E00"/>
    <w:rsid w:val="00BD7E62"/>
    <w:rsid w:val="00BE064C"/>
    <w:rsid w:val="00BE0683"/>
    <w:rsid w:val="00BE0951"/>
    <w:rsid w:val="00BE0DCF"/>
    <w:rsid w:val="00BE132D"/>
    <w:rsid w:val="00BE1576"/>
    <w:rsid w:val="00BE1A07"/>
    <w:rsid w:val="00BE1AD9"/>
    <w:rsid w:val="00BE1AEA"/>
    <w:rsid w:val="00BE26DB"/>
    <w:rsid w:val="00BE2C82"/>
    <w:rsid w:val="00BE357E"/>
    <w:rsid w:val="00BE360B"/>
    <w:rsid w:val="00BE3696"/>
    <w:rsid w:val="00BE371F"/>
    <w:rsid w:val="00BE3871"/>
    <w:rsid w:val="00BE38BB"/>
    <w:rsid w:val="00BE3A9B"/>
    <w:rsid w:val="00BE3AC4"/>
    <w:rsid w:val="00BE3C8A"/>
    <w:rsid w:val="00BE44C7"/>
    <w:rsid w:val="00BE4741"/>
    <w:rsid w:val="00BE5C85"/>
    <w:rsid w:val="00BE6329"/>
    <w:rsid w:val="00BE69E6"/>
    <w:rsid w:val="00BE6DF0"/>
    <w:rsid w:val="00BE71E6"/>
    <w:rsid w:val="00BE74E6"/>
    <w:rsid w:val="00BE77A6"/>
    <w:rsid w:val="00BF02BC"/>
    <w:rsid w:val="00BF0B66"/>
    <w:rsid w:val="00BF1CE3"/>
    <w:rsid w:val="00BF21CF"/>
    <w:rsid w:val="00BF21FE"/>
    <w:rsid w:val="00BF2399"/>
    <w:rsid w:val="00BF2A0F"/>
    <w:rsid w:val="00BF2B82"/>
    <w:rsid w:val="00BF333D"/>
    <w:rsid w:val="00BF399E"/>
    <w:rsid w:val="00BF3A92"/>
    <w:rsid w:val="00BF3B08"/>
    <w:rsid w:val="00BF429C"/>
    <w:rsid w:val="00BF43F8"/>
    <w:rsid w:val="00BF47BC"/>
    <w:rsid w:val="00BF47C1"/>
    <w:rsid w:val="00BF4952"/>
    <w:rsid w:val="00BF6B56"/>
    <w:rsid w:val="00C00007"/>
    <w:rsid w:val="00C001D5"/>
    <w:rsid w:val="00C00227"/>
    <w:rsid w:val="00C00712"/>
    <w:rsid w:val="00C0094A"/>
    <w:rsid w:val="00C015AC"/>
    <w:rsid w:val="00C01E88"/>
    <w:rsid w:val="00C02353"/>
    <w:rsid w:val="00C02AA5"/>
    <w:rsid w:val="00C03D10"/>
    <w:rsid w:val="00C045F5"/>
    <w:rsid w:val="00C04D52"/>
    <w:rsid w:val="00C05010"/>
    <w:rsid w:val="00C056DF"/>
    <w:rsid w:val="00C05728"/>
    <w:rsid w:val="00C05B20"/>
    <w:rsid w:val="00C05B25"/>
    <w:rsid w:val="00C05B59"/>
    <w:rsid w:val="00C05C4E"/>
    <w:rsid w:val="00C06475"/>
    <w:rsid w:val="00C0698D"/>
    <w:rsid w:val="00C06B0A"/>
    <w:rsid w:val="00C07194"/>
    <w:rsid w:val="00C071DA"/>
    <w:rsid w:val="00C072C3"/>
    <w:rsid w:val="00C07FFE"/>
    <w:rsid w:val="00C102A1"/>
    <w:rsid w:val="00C10665"/>
    <w:rsid w:val="00C1117B"/>
    <w:rsid w:val="00C1133F"/>
    <w:rsid w:val="00C11717"/>
    <w:rsid w:val="00C11CEB"/>
    <w:rsid w:val="00C11D77"/>
    <w:rsid w:val="00C1274A"/>
    <w:rsid w:val="00C1433E"/>
    <w:rsid w:val="00C145E0"/>
    <w:rsid w:val="00C14900"/>
    <w:rsid w:val="00C14C1A"/>
    <w:rsid w:val="00C1505F"/>
    <w:rsid w:val="00C151AA"/>
    <w:rsid w:val="00C15EF6"/>
    <w:rsid w:val="00C1622D"/>
    <w:rsid w:val="00C177BE"/>
    <w:rsid w:val="00C17B1B"/>
    <w:rsid w:val="00C20052"/>
    <w:rsid w:val="00C2066D"/>
    <w:rsid w:val="00C20BBE"/>
    <w:rsid w:val="00C20BDF"/>
    <w:rsid w:val="00C21CA0"/>
    <w:rsid w:val="00C24B6B"/>
    <w:rsid w:val="00C24CE3"/>
    <w:rsid w:val="00C26420"/>
    <w:rsid w:val="00C2658F"/>
    <w:rsid w:val="00C26740"/>
    <w:rsid w:val="00C268C4"/>
    <w:rsid w:val="00C26D03"/>
    <w:rsid w:val="00C272E6"/>
    <w:rsid w:val="00C30191"/>
    <w:rsid w:val="00C30A98"/>
    <w:rsid w:val="00C31458"/>
    <w:rsid w:val="00C31C52"/>
    <w:rsid w:val="00C31D78"/>
    <w:rsid w:val="00C329E3"/>
    <w:rsid w:val="00C335E2"/>
    <w:rsid w:val="00C33609"/>
    <w:rsid w:val="00C33A70"/>
    <w:rsid w:val="00C35F63"/>
    <w:rsid w:val="00C37DB2"/>
    <w:rsid w:val="00C40043"/>
    <w:rsid w:val="00C40626"/>
    <w:rsid w:val="00C40702"/>
    <w:rsid w:val="00C40A8C"/>
    <w:rsid w:val="00C411C0"/>
    <w:rsid w:val="00C43565"/>
    <w:rsid w:val="00C451EF"/>
    <w:rsid w:val="00C459B9"/>
    <w:rsid w:val="00C46546"/>
    <w:rsid w:val="00C47510"/>
    <w:rsid w:val="00C4758D"/>
    <w:rsid w:val="00C47637"/>
    <w:rsid w:val="00C5078A"/>
    <w:rsid w:val="00C50B74"/>
    <w:rsid w:val="00C50E69"/>
    <w:rsid w:val="00C50EF4"/>
    <w:rsid w:val="00C51367"/>
    <w:rsid w:val="00C51ABA"/>
    <w:rsid w:val="00C5258B"/>
    <w:rsid w:val="00C52FA5"/>
    <w:rsid w:val="00C547CB"/>
    <w:rsid w:val="00C54A4F"/>
    <w:rsid w:val="00C54B00"/>
    <w:rsid w:val="00C54C13"/>
    <w:rsid w:val="00C54FCA"/>
    <w:rsid w:val="00C556C4"/>
    <w:rsid w:val="00C5575E"/>
    <w:rsid w:val="00C55AE9"/>
    <w:rsid w:val="00C55DE2"/>
    <w:rsid w:val="00C563C5"/>
    <w:rsid w:val="00C56A82"/>
    <w:rsid w:val="00C56D26"/>
    <w:rsid w:val="00C57566"/>
    <w:rsid w:val="00C57B98"/>
    <w:rsid w:val="00C57D19"/>
    <w:rsid w:val="00C6090A"/>
    <w:rsid w:val="00C60BB1"/>
    <w:rsid w:val="00C60D7F"/>
    <w:rsid w:val="00C610B1"/>
    <w:rsid w:val="00C61DFF"/>
    <w:rsid w:val="00C624F7"/>
    <w:rsid w:val="00C626BE"/>
    <w:rsid w:val="00C62BC1"/>
    <w:rsid w:val="00C6334F"/>
    <w:rsid w:val="00C637AA"/>
    <w:rsid w:val="00C63A24"/>
    <w:rsid w:val="00C6446A"/>
    <w:rsid w:val="00C652D5"/>
    <w:rsid w:val="00C660A5"/>
    <w:rsid w:val="00C66908"/>
    <w:rsid w:val="00C66CE5"/>
    <w:rsid w:val="00C67166"/>
    <w:rsid w:val="00C70657"/>
    <w:rsid w:val="00C70977"/>
    <w:rsid w:val="00C709DA"/>
    <w:rsid w:val="00C70E9D"/>
    <w:rsid w:val="00C71428"/>
    <w:rsid w:val="00C71E17"/>
    <w:rsid w:val="00C7206E"/>
    <w:rsid w:val="00C7211A"/>
    <w:rsid w:val="00C72520"/>
    <w:rsid w:val="00C729B0"/>
    <w:rsid w:val="00C731E6"/>
    <w:rsid w:val="00C73DF9"/>
    <w:rsid w:val="00C73E3E"/>
    <w:rsid w:val="00C74BBF"/>
    <w:rsid w:val="00C75A07"/>
    <w:rsid w:val="00C76B97"/>
    <w:rsid w:val="00C77679"/>
    <w:rsid w:val="00C77CF5"/>
    <w:rsid w:val="00C807BD"/>
    <w:rsid w:val="00C80A88"/>
    <w:rsid w:val="00C81513"/>
    <w:rsid w:val="00C82C83"/>
    <w:rsid w:val="00C830F1"/>
    <w:rsid w:val="00C834D7"/>
    <w:rsid w:val="00C841E9"/>
    <w:rsid w:val="00C84673"/>
    <w:rsid w:val="00C84839"/>
    <w:rsid w:val="00C85397"/>
    <w:rsid w:val="00C85BEB"/>
    <w:rsid w:val="00C85EAA"/>
    <w:rsid w:val="00C86AFF"/>
    <w:rsid w:val="00C87755"/>
    <w:rsid w:val="00C87AB8"/>
    <w:rsid w:val="00C905C2"/>
    <w:rsid w:val="00C91159"/>
    <w:rsid w:val="00C91D7E"/>
    <w:rsid w:val="00C9214A"/>
    <w:rsid w:val="00C92379"/>
    <w:rsid w:val="00C9275D"/>
    <w:rsid w:val="00C93B2B"/>
    <w:rsid w:val="00C943AE"/>
    <w:rsid w:val="00C955ED"/>
    <w:rsid w:val="00C95DA1"/>
    <w:rsid w:val="00C9659E"/>
    <w:rsid w:val="00C9793F"/>
    <w:rsid w:val="00C97EF8"/>
    <w:rsid w:val="00C97F6D"/>
    <w:rsid w:val="00CA0444"/>
    <w:rsid w:val="00CA1604"/>
    <w:rsid w:val="00CA1AA5"/>
    <w:rsid w:val="00CA1DAE"/>
    <w:rsid w:val="00CA3152"/>
    <w:rsid w:val="00CA368A"/>
    <w:rsid w:val="00CA41C1"/>
    <w:rsid w:val="00CA459A"/>
    <w:rsid w:val="00CA4D8E"/>
    <w:rsid w:val="00CA52DC"/>
    <w:rsid w:val="00CA5ABA"/>
    <w:rsid w:val="00CA6AE8"/>
    <w:rsid w:val="00CA6E4E"/>
    <w:rsid w:val="00CA6EFF"/>
    <w:rsid w:val="00CA740E"/>
    <w:rsid w:val="00CA785A"/>
    <w:rsid w:val="00CA7B1F"/>
    <w:rsid w:val="00CB004A"/>
    <w:rsid w:val="00CB0553"/>
    <w:rsid w:val="00CB0D49"/>
    <w:rsid w:val="00CB177D"/>
    <w:rsid w:val="00CB282B"/>
    <w:rsid w:val="00CB290B"/>
    <w:rsid w:val="00CB33B6"/>
    <w:rsid w:val="00CB3FB5"/>
    <w:rsid w:val="00CB44EC"/>
    <w:rsid w:val="00CB527E"/>
    <w:rsid w:val="00CB5CA9"/>
    <w:rsid w:val="00CB5CF6"/>
    <w:rsid w:val="00CB5D28"/>
    <w:rsid w:val="00CB75A6"/>
    <w:rsid w:val="00CB7B23"/>
    <w:rsid w:val="00CC018C"/>
    <w:rsid w:val="00CC03F7"/>
    <w:rsid w:val="00CC0819"/>
    <w:rsid w:val="00CC1FBD"/>
    <w:rsid w:val="00CC260B"/>
    <w:rsid w:val="00CC29C0"/>
    <w:rsid w:val="00CC2F50"/>
    <w:rsid w:val="00CC301C"/>
    <w:rsid w:val="00CC369F"/>
    <w:rsid w:val="00CC3CFB"/>
    <w:rsid w:val="00CC3E06"/>
    <w:rsid w:val="00CC40B1"/>
    <w:rsid w:val="00CC4688"/>
    <w:rsid w:val="00CC52C9"/>
    <w:rsid w:val="00CC5300"/>
    <w:rsid w:val="00CC5474"/>
    <w:rsid w:val="00CC54CC"/>
    <w:rsid w:val="00CC5D8F"/>
    <w:rsid w:val="00CC5FD5"/>
    <w:rsid w:val="00CC65FD"/>
    <w:rsid w:val="00CC67F2"/>
    <w:rsid w:val="00CC69BF"/>
    <w:rsid w:val="00CC6F58"/>
    <w:rsid w:val="00CC72EF"/>
    <w:rsid w:val="00CD0190"/>
    <w:rsid w:val="00CD0585"/>
    <w:rsid w:val="00CD1352"/>
    <w:rsid w:val="00CD1FD1"/>
    <w:rsid w:val="00CD4225"/>
    <w:rsid w:val="00CD439D"/>
    <w:rsid w:val="00CD45F1"/>
    <w:rsid w:val="00CD510D"/>
    <w:rsid w:val="00CD559B"/>
    <w:rsid w:val="00CD55F1"/>
    <w:rsid w:val="00CD601E"/>
    <w:rsid w:val="00CD6246"/>
    <w:rsid w:val="00CD6415"/>
    <w:rsid w:val="00CD646A"/>
    <w:rsid w:val="00CD695D"/>
    <w:rsid w:val="00CD6BFE"/>
    <w:rsid w:val="00CD6D35"/>
    <w:rsid w:val="00CD716D"/>
    <w:rsid w:val="00CE0233"/>
    <w:rsid w:val="00CE1126"/>
    <w:rsid w:val="00CE1625"/>
    <w:rsid w:val="00CE1FF0"/>
    <w:rsid w:val="00CE2BB2"/>
    <w:rsid w:val="00CE3322"/>
    <w:rsid w:val="00CE36E1"/>
    <w:rsid w:val="00CE3714"/>
    <w:rsid w:val="00CE41EB"/>
    <w:rsid w:val="00CE5317"/>
    <w:rsid w:val="00CE572E"/>
    <w:rsid w:val="00CE596B"/>
    <w:rsid w:val="00CE59DD"/>
    <w:rsid w:val="00CE62C3"/>
    <w:rsid w:val="00CE6840"/>
    <w:rsid w:val="00CE6E80"/>
    <w:rsid w:val="00CE718F"/>
    <w:rsid w:val="00CE72C1"/>
    <w:rsid w:val="00CE77D2"/>
    <w:rsid w:val="00CE79B2"/>
    <w:rsid w:val="00CE79B3"/>
    <w:rsid w:val="00CE7F8E"/>
    <w:rsid w:val="00CF0A45"/>
    <w:rsid w:val="00CF107E"/>
    <w:rsid w:val="00CF280D"/>
    <w:rsid w:val="00CF2AFB"/>
    <w:rsid w:val="00CF3DD4"/>
    <w:rsid w:val="00CF3FC6"/>
    <w:rsid w:val="00CF4063"/>
    <w:rsid w:val="00CF4BF6"/>
    <w:rsid w:val="00CF4E72"/>
    <w:rsid w:val="00CF5DC2"/>
    <w:rsid w:val="00CF5FAC"/>
    <w:rsid w:val="00CF689E"/>
    <w:rsid w:val="00CF7631"/>
    <w:rsid w:val="00CF76EC"/>
    <w:rsid w:val="00CF7C09"/>
    <w:rsid w:val="00D00967"/>
    <w:rsid w:val="00D00B4A"/>
    <w:rsid w:val="00D01AAF"/>
    <w:rsid w:val="00D01D34"/>
    <w:rsid w:val="00D02FBD"/>
    <w:rsid w:val="00D03D28"/>
    <w:rsid w:val="00D0460A"/>
    <w:rsid w:val="00D04C5A"/>
    <w:rsid w:val="00D04F8D"/>
    <w:rsid w:val="00D0538B"/>
    <w:rsid w:val="00D0548A"/>
    <w:rsid w:val="00D05763"/>
    <w:rsid w:val="00D05788"/>
    <w:rsid w:val="00D057FD"/>
    <w:rsid w:val="00D06B1B"/>
    <w:rsid w:val="00D06B85"/>
    <w:rsid w:val="00D06D1C"/>
    <w:rsid w:val="00D07065"/>
    <w:rsid w:val="00D078BF"/>
    <w:rsid w:val="00D07DFD"/>
    <w:rsid w:val="00D07F01"/>
    <w:rsid w:val="00D1073D"/>
    <w:rsid w:val="00D113AE"/>
    <w:rsid w:val="00D119F5"/>
    <w:rsid w:val="00D131D9"/>
    <w:rsid w:val="00D1741D"/>
    <w:rsid w:val="00D17435"/>
    <w:rsid w:val="00D17FE8"/>
    <w:rsid w:val="00D20C0F"/>
    <w:rsid w:val="00D20E01"/>
    <w:rsid w:val="00D20F89"/>
    <w:rsid w:val="00D21139"/>
    <w:rsid w:val="00D21933"/>
    <w:rsid w:val="00D21A43"/>
    <w:rsid w:val="00D21E84"/>
    <w:rsid w:val="00D22606"/>
    <w:rsid w:val="00D2338C"/>
    <w:rsid w:val="00D24EEE"/>
    <w:rsid w:val="00D257AB"/>
    <w:rsid w:val="00D25CD3"/>
    <w:rsid w:val="00D26673"/>
    <w:rsid w:val="00D26B8F"/>
    <w:rsid w:val="00D27905"/>
    <w:rsid w:val="00D27FAC"/>
    <w:rsid w:val="00D3015D"/>
    <w:rsid w:val="00D307D8"/>
    <w:rsid w:val="00D307DD"/>
    <w:rsid w:val="00D308E3"/>
    <w:rsid w:val="00D308EF"/>
    <w:rsid w:val="00D30E18"/>
    <w:rsid w:val="00D31562"/>
    <w:rsid w:val="00D324D8"/>
    <w:rsid w:val="00D32500"/>
    <w:rsid w:val="00D328AB"/>
    <w:rsid w:val="00D3307C"/>
    <w:rsid w:val="00D33D81"/>
    <w:rsid w:val="00D344C0"/>
    <w:rsid w:val="00D3496E"/>
    <w:rsid w:val="00D34B9C"/>
    <w:rsid w:val="00D350FD"/>
    <w:rsid w:val="00D35E5D"/>
    <w:rsid w:val="00D363E5"/>
    <w:rsid w:val="00D36554"/>
    <w:rsid w:val="00D3690A"/>
    <w:rsid w:val="00D36A3B"/>
    <w:rsid w:val="00D3743E"/>
    <w:rsid w:val="00D37559"/>
    <w:rsid w:val="00D37A0B"/>
    <w:rsid w:val="00D40527"/>
    <w:rsid w:val="00D407B4"/>
    <w:rsid w:val="00D41C69"/>
    <w:rsid w:val="00D41E7F"/>
    <w:rsid w:val="00D41F73"/>
    <w:rsid w:val="00D421BB"/>
    <w:rsid w:val="00D42958"/>
    <w:rsid w:val="00D42A38"/>
    <w:rsid w:val="00D4358D"/>
    <w:rsid w:val="00D43EAF"/>
    <w:rsid w:val="00D44220"/>
    <w:rsid w:val="00D4533C"/>
    <w:rsid w:val="00D4536F"/>
    <w:rsid w:val="00D4564F"/>
    <w:rsid w:val="00D459BD"/>
    <w:rsid w:val="00D45E05"/>
    <w:rsid w:val="00D465EB"/>
    <w:rsid w:val="00D46BE9"/>
    <w:rsid w:val="00D47078"/>
    <w:rsid w:val="00D473C2"/>
    <w:rsid w:val="00D47D21"/>
    <w:rsid w:val="00D5045F"/>
    <w:rsid w:val="00D50C39"/>
    <w:rsid w:val="00D50E03"/>
    <w:rsid w:val="00D51A40"/>
    <w:rsid w:val="00D51BD6"/>
    <w:rsid w:val="00D53064"/>
    <w:rsid w:val="00D53E9B"/>
    <w:rsid w:val="00D56151"/>
    <w:rsid w:val="00D561F2"/>
    <w:rsid w:val="00D563E3"/>
    <w:rsid w:val="00D5647A"/>
    <w:rsid w:val="00D56721"/>
    <w:rsid w:val="00D569AE"/>
    <w:rsid w:val="00D570D1"/>
    <w:rsid w:val="00D600B4"/>
    <w:rsid w:val="00D600F2"/>
    <w:rsid w:val="00D605BE"/>
    <w:rsid w:val="00D61144"/>
    <w:rsid w:val="00D61746"/>
    <w:rsid w:val="00D618F6"/>
    <w:rsid w:val="00D62122"/>
    <w:rsid w:val="00D62210"/>
    <w:rsid w:val="00D6224F"/>
    <w:rsid w:val="00D62663"/>
    <w:rsid w:val="00D62782"/>
    <w:rsid w:val="00D62D53"/>
    <w:rsid w:val="00D62F8E"/>
    <w:rsid w:val="00D6364B"/>
    <w:rsid w:val="00D63C55"/>
    <w:rsid w:val="00D646ED"/>
    <w:rsid w:val="00D64C03"/>
    <w:rsid w:val="00D65FEC"/>
    <w:rsid w:val="00D660DE"/>
    <w:rsid w:val="00D66A3A"/>
    <w:rsid w:val="00D66DF6"/>
    <w:rsid w:val="00D6751D"/>
    <w:rsid w:val="00D703B7"/>
    <w:rsid w:val="00D707B6"/>
    <w:rsid w:val="00D731C2"/>
    <w:rsid w:val="00D73A06"/>
    <w:rsid w:val="00D75064"/>
    <w:rsid w:val="00D75E39"/>
    <w:rsid w:val="00D76154"/>
    <w:rsid w:val="00D80044"/>
    <w:rsid w:val="00D80949"/>
    <w:rsid w:val="00D80E3E"/>
    <w:rsid w:val="00D817E7"/>
    <w:rsid w:val="00D8234C"/>
    <w:rsid w:val="00D824A7"/>
    <w:rsid w:val="00D82931"/>
    <w:rsid w:val="00D82B88"/>
    <w:rsid w:val="00D82BDF"/>
    <w:rsid w:val="00D830A4"/>
    <w:rsid w:val="00D83835"/>
    <w:rsid w:val="00D83CBF"/>
    <w:rsid w:val="00D83DD4"/>
    <w:rsid w:val="00D84460"/>
    <w:rsid w:val="00D84DD4"/>
    <w:rsid w:val="00D853B6"/>
    <w:rsid w:val="00D85A43"/>
    <w:rsid w:val="00D85B1E"/>
    <w:rsid w:val="00D861CB"/>
    <w:rsid w:val="00D8735E"/>
    <w:rsid w:val="00D876BF"/>
    <w:rsid w:val="00D87E11"/>
    <w:rsid w:val="00D87E18"/>
    <w:rsid w:val="00D90F7E"/>
    <w:rsid w:val="00D9171C"/>
    <w:rsid w:val="00D91BFA"/>
    <w:rsid w:val="00D91E1F"/>
    <w:rsid w:val="00D927D3"/>
    <w:rsid w:val="00D9311D"/>
    <w:rsid w:val="00D9331C"/>
    <w:rsid w:val="00D934B6"/>
    <w:rsid w:val="00D93617"/>
    <w:rsid w:val="00D94A6A"/>
    <w:rsid w:val="00D9576C"/>
    <w:rsid w:val="00D95C72"/>
    <w:rsid w:val="00D9637A"/>
    <w:rsid w:val="00D96A8B"/>
    <w:rsid w:val="00D97287"/>
    <w:rsid w:val="00D973B5"/>
    <w:rsid w:val="00D9762D"/>
    <w:rsid w:val="00D97985"/>
    <w:rsid w:val="00D97C83"/>
    <w:rsid w:val="00D97E9D"/>
    <w:rsid w:val="00DA0254"/>
    <w:rsid w:val="00DA0862"/>
    <w:rsid w:val="00DA0A61"/>
    <w:rsid w:val="00DA100F"/>
    <w:rsid w:val="00DA1075"/>
    <w:rsid w:val="00DA1612"/>
    <w:rsid w:val="00DA276B"/>
    <w:rsid w:val="00DA31FE"/>
    <w:rsid w:val="00DA34E9"/>
    <w:rsid w:val="00DA3B35"/>
    <w:rsid w:val="00DA64FF"/>
    <w:rsid w:val="00DA6BF9"/>
    <w:rsid w:val="00DA7AEB"/>
    <w:rsid w:val="00DB09AA"/>
    <w:rsid w:val="00DB0D2A"/>
    <w:rsid w:val="00DB1723"/>
    <w:rsid w:val="00DB207D"/>
    <w:rsid w:val="00DB2513"/>
    <w:rsid w:val="00DB369A"/>
    <w:rsid w:val="00DB37F4"/>
    <w:rsid w:val="00DB3AA3"/>
    <w:rsid w:val="00DB3EAC"/>
    <w:rsid w:val="00DB42C2"/>
    <w:rsid w:val="00DB42D2"/>
    <w:rsid w:val="00DB4948"/>
    <w:rsid w:val="00DB4E7E"/>
    <w:rsid w:val="00DB4EC0"/>
    <w:rsid w:val="00DB50B4"/>
    <w:rsid w:val="00DB5EFD"/>
    <w:rsid w:val="00DB670A"/>
    <w:rsid w:val="00DB7E06"/>
    <w:rsid w:val="00DC014E"/>
    <w:rsid w:val="00DC0AF0"/>
    <w:rsid w:val="00DC0BB0"/>
    <w:rsid w:val="00DC0C4D"/>
    <w:rsid w:val="00DC0DFF"/>
    <w:rsid w:val="00DC18F7"/>
    <w:rsid w:val="00DC1C18"/>
    <w:rsid w:val="00DC200D"/>
    <w:rsid w:val="00DC216F"/>
    <w:rsid w:val="00DC2350"/>
    <w:rsid w:val="00DC2482"/>
    <w:rsid w:val="00DC2667"/>
    <w:rsid w:val="00DC27D5"/>
    <w:rsid w:val="00DC3400"/>
    <w:rsid w:val="00DC38BA"/>
    <w:rsid w:val="00DC3D59"/>
    <w:rsid w:val="00DC44CB"/>
    <w:rsid w:val="00DC44D2"/>
    <w:rsid w:val="00DC5324"/>
    <w:rsid w:val="00DC55DF"/>
    <w:rsid w:val="00DC5D44"/>
    <w:rsid w:val="00DC629F"/>
    <w:rsid w:val="00DC6966"/>
    <w:rsid w:val="00DC71F8"/>
    <w:rsid w:val="00DD00F5"/>
    <w:rsid w:val="00DD0305"/>
    <w:rsid w:val="00DD1152"/>
    <w:rsid w:val="00DD1943"/>
    <w:rsid w:val="00DD1A4D"/>
    <w:rsid w:val="00DD2B4E"/>
    <w:rsid w:val="00DD2E12"/>
    <w:rsid w:val="00DD3720"/>
    <w:rsid w:val="00DD450B"/>
    <w:rsid w:val="00DD47D7"/>
    <w:rsid w:val="00DD6AC1"/>
    <w:rsid w:val="00DD6D17"/>
    <w:rsid w:val="00DD718D"/>
    <w:rsid w:val="00DD77D2"/>
    <w:rsid w:val="00DD798B"/>
    <w:rsid w:val="00DD7E67"/>
    <w:rsid w:val="00DE07E3"/>
    <w:rsid w:val="00DE0976"/>
    <w:rsid w:val="00DE0CBA"/>
    <w:rsid w:val="00DE0FA6"/>
    <w:rsid w:val="00DE1119"/>
    <w:rsid w:val="00DE1961"/>
    <w:rsid w:val="00DE2A45"/>
    <w:rsid w:val="00DE2D45"/>
    <w:rsid w:val="00DE341B"/>
    <w:rsid w:val="00DE397C"/>
    <w:rsid w:val="00DE469B"/>
    <w:rsid w:val="00DE4A13"/>
    <w:rsid w:val="00DE5424"/>
    <w:rsid w:val="00DE5986"/>
    <w:rsid w:val="00DE62B6"/>
    <w:rsid w:val="00DE62EE"/>
    <w:rsid w:val="00DE709B"/>
    <w:rsid w:val="00DE7E4D"/>
    <w:rsid w:val="00DF06E8"/>
    <w:rsid w:val="00DF0AB2"/>
    <w:rsid w:val="00DF0CB7"/>
    <w:rsid w:val="00DF0DDE"/>
    <w:rsid w:val="00DF1333"/>
    <w:rsid w:val="00DF217C"/>
    <w:rsid w:val="00DF50CC"/>
    <w:rsid w:val="00DF5C93"/>
    <w:rsid w:val="00DF5D0A"/>
    <w:rsid w:val="00DF6048"/>
    <w:rsid w:val="00DF724C"/>
    <w:rsid w:val="00DF729E"/>
    <w:rsid w:val="00DF7765"/>
    <w:rsid w:val="00E002E0"/>
    <w:rsid w:val="00E01A58"/>
    <w:rsid w:val="00E01B02"/>
    <w:rsid w:val="00E02164"/>
    <w:rsid w:val="00E021B9"/>
    <w:rsid w:val="00E030E7"/>
    <w:rsid w:val="00E03E4A"/>
    <w:rsid w:val="00E046A0"/>
    <w:rsid w:val="00E0522C"/>
    <w:rsid w:val="00E059D7"/>
    <w:rsid w:val="00E059DF"/>
    <w:rsid w:val="00E0613B"/>
    <w:rsid w:val="00E06377"/>
    <w:rsid w:val="00E06454"/>
    <w:rsid w:val="00E06A57"/>
    <w:rsid w:val="00E0713A"/>
    <w:rsid w:val="00E077F8"/>
    <w:rsid w:val="00E07904"/>
    <w:rsid w:val="00E07E50"/>
    <w:rsid w:val="00E10605"/>
    <w:rsid w:val="00E10AC3"/>
    <w:rsid w:val="00E1129D"/>
    <w:rsid w:val="00E11A83"/>
    <w:rsid w:val="00E1274F"/>
    <w:rsid w:val="00E132AA"/>
    <w:rsid w:val="00E13E34"/>
    <w:rsid w:val="00E14704"/>
    <w:rsid w:val="00E14933"/>
    <w:rsid w:val="00E15AE8"/>
    <w:rsid w:val="00E164DE"/>
    <w:rsid w:val="00E17763"/>
    <w:rsid w:val="00E17A87"/>
    <w:rsid w:val="00E17BA6"/>
    <w:rsid w:val="00E17E1C"/>
    <w:rsid w:val="00E211E9"/>
    <w:rsid w:val="00E213FE"/>
    <w:rsid w:val="00E21621"/>
    <w:rsid w:val="00E217C2"/>
    <w:rsid w:val="00E22501"/>
    <w:rsid w:val="00E22C01"/>
    <w:rsid w:val="00E23693"/>
    <w:rsid w:val="00E23A37"/>
    <w:rsid w:val="00E23B77"/>
    <w:rsid w:val="00E23F29"/>
    <w:rsid w:val="00E2403B"/>
    <w:rsid w:val="00E245D3"/>
    <w:rsid w:val="00E24692"/>
    <w:rsid w:val="00E246C5"/>
    <w:rsid w:val="00E25364"/>
    <w:rsid w:val="00E258A6"/>
    <w:rsid w:val="00E2648C"/>
    <w:rsid w:val="00E26815"/>
    <w:rsid w:val="00E27436"/>
    <w:rsid w:val="00E2778A"/>
    <w:rsid w:val="00E31184"/>
    <w:rsid w:val="00E315C0"/>
    <w:rsid w:val="00E31843"/>
    <w:rsid w:val="00E32BF9"/>
    <w:rsid w:val="00E32C14"/>
    <w:rsid w:val="00E33834"/>
    <w:rsid w:val="00E34B95"/>
    <w:rsid w:val="00E3521E"/>
    <w:rsid w:val="00E35639"/>
    <w:rsid w:val="00E35CFD"/>
    <w:rsid w:val="00E36452"/>
    <w:rsid w:val="00E366D9"/>
    <w:rsid w:val="00E36E2F"/>
    <w:rsid w:val="00E36EA1"/>
    <w:rsid w:val="00E3719D"/>
    <w:rsid w:val="00E37B97"/>
    <w:rsid w:val="00E37F11"/>
    <w:rsid w:val="00E408F0"/>
    <w:rsid w:val="00E40ADA"/>
    <w:rsid w:val="00E4138C"/>
    <w:rsid w:val="00E415A5"/>
    <w:rsid w:val="00E42C4A"/>
    <w:rsid w:val="00E43367"/>
    <w:rsid w:val="00E43BFB"/>
    <w:rsid w:val="00E447CC"/>
    <w:rsid w:val="00E44FE8"/>
    <w:rsid w:val="00E4525D"/>
    <w:rsid w:val="00E45804"/>
    <w:rsid w:val="00E4638A"/>
    <w:rsid w:val="00E4724A"/>
    <w:rsid w:val="00E4729F"/>
    <w:rsid w:val="00E47382"/>
    <w:rsid w:val="00E475CD"/>
    <w:rsid w:val="00E4768C"/>
    <w:rsid w:val="00E47864"/>
    <w:rsid w:val="00E505ED"/>
    <w:rsid w:val="00E505FB"/>
    <w:rsid w:val="00E508D8"/>
    <w:rsid w:val="00E50D95"/>
    <w:rsid w:val="00E5109A"/>
    <w:rsid w:val="00E51A4A"/>
    <w:rsid w:val="00E51D8C"/>
    <w:rsid w:val="00E5207D"/>
    <w:rsid w:val="00E53336"/>
    <w:rsid w:val="00E53394"/>
    <w:rsid w:val="00E5401C"/>
    <w:rsid w:val="00E540C8"/>
    <w:rsid w:val="00E54311"/>
    <w:rsid w:val="00E553F4"/>
    <w:rsid w:val="00E555CA"/>
    <w:rsid w:val="00E56350"/>
    <w:rsid w:val="00E563D6"/>
    <w:rsid w:val="00E56613"/>
    <w:rsid w:val="00E600A4"/>
    <w:rsid w:val="00E60A58"/>
    <w:rsid w:val="00E6116F"/>
    <w:rsid w:val="00E619C2"/>
    <w:rsid w:val="00E62035"/>
    <w:rsid w:val="00E6376A"/>
    <w:rsid w:val="00E64CBB"/>
    <w:rsid w:val="00E671AB"/>
    <w:rsid w:val="00E674DF"/>
    <w:rsid w:val="00E6759D"/>
    <w:rsid w:val="00E714A2"/>
    <w:rsid w:val="00E71A87"/>
    <w:rsid w:val="00E729CF"/>
    <w:rsid w:val="00E729E5"/>
    <w:rsid w:val="00E7340E"/>
    <w:rsid w:val="00E73FD3"/>
    <w:rsid w:val="00E7418B"/>
    <w:rsid w:val="00E74AB0"/>
    <w:rsid w:val="00E74CD7"/>
    <w:rsid w:val="00E7522B"/>
    <w:rsid w:val="00E75379"/>
    <w:rsid w:val="00E75D21"/>
    <w:rsid w:val="00E75D6D"/>
    <w:rsid w:val="00E77252"/>
    <w:rsid w:val="00E80CC2"/>
    <w:rsid w:val="00E81B18"/>
    <w:rsid w:val="00E82EA4"/>
    <w:rsid w:val="00E82F32"/>
    <w:rsid w:val="00E83227"/>
    <w:rsid w:val="00E84518"/>
    <w:rsid w:val="00E8514A"/>
    <w:rsid w:val="00E85DFF"/>
    <w:rsid w:val="00E86DD5"/>
    <w:rsid w:val="00E870CB"/>
    <w:rsid w:val="00E905AB"/>
    <w:rsid w:val="00E9084C"/>
    <w:rsid w:val="00E90B46"/>
    <w:rsid w:val="00E90DF9"/>
    <w:rsid w:val="00E90FA4"/>
    <w:rsid w:val="00E92060"/>
    <w:rsid w:val="00E92116"/>
    <w:rsid w:val="00E9242C"/>
    <w:rsid w:val="00E929C6"/>
    <w:rsid w:val="00E92DE9"/>
    <w:rsid w:val="00E92F68"/>
    <w:rsid w:val="00E93007"/>
    <w:rsid w:val="00E931DC"/>
    <w:rsid w:val="00E93239"/>
    <w:rsid w:val="00E95D41"/>
    <w:rsid w:val="00E95DA7"/>
    <w:rsid w:val="00E95DBC"/>
    <w:rsid w:val="00E9600B"/>
    <w:rsid w:val="00E96194"/>
    <w:rsid w:val="00E96250"/>
    <w:rsid w:val="00E96489"/>
    <w:rsid w:val="00E96843"/>
    <w:rsid w:val="00E96962"/>
    <w:rsid w:val="00E9720D"/>
    <w:rsid w:val="00E973E0"/>
    <w:rsid w:val="00E97D3F"/>
    <w:rsid w:val="00E97DC5"/>
    <w:rsid w:val="00EA10AF"/>
    <w:rsid w:val="00EA124B"/>
    <w:rsid w:val="00EA242E"/>
    <w:rsid w:val="00EA3116"/>
    <w:rsid w:val="00EA33AD"/>
    <w:rsid w:val="00EA390E"/>
    <w:rsid w:val="00EA3DEF"/>
    <w:rsid w:val="00EA4810"/>
    <w:rsid w:val="00EA4970"/>
    <w:rsid w:val="00EA566D"/>
    <w:rsid w:val="00EA56B4"/>
    <w:rsid w:val="00EA65B9"/>
    <w:rsid w:val="00EA6E04"/>
    <w:rsid w:val="00EA7425"/>
    <w:rsid w:val="00EA76E2"/>
    <w:rsid w:val="00EA7EDA"/>
    <w:rsid w:val="00EB00D0"/>
    <w:rsid w:val="00EB01F2"/>
    <w:rsid w:val="00EB03B8"/>
    <w:rsid w:val="00EB03FF"/>
    <w:rsid w:val="00EB0632"/>
    <w:rsid w:val="00EB0CD2"/>
    <w:rsid w:val="00EB1070"/>
    <w:rsid w:val="00EB1DBE"/>
    <w:rsid w:val="00EB2815"/>
    <w:rsid w:val="00EB32A7"/>
    <w:rsid w:val="00EB342A"/>
    <w:rsid w:val="00EB3AB3"/>
    <w:rsid w:val="00EB3B61"/>
    <w:rsid w:val="00EB4B43"/>
    <w:rsid w:val="00EB651D"/>
    <w:rsid w:val="00EB65E4"/>
    <w:rsid w:val="00EB6D60"/>
    <w:rsid w:val="00EB756D"/>
    <w:rsid w:val="00EC0B4C"/>
    <w:rsid w:val="00EC0DC4"/>
    <w:rsid w:val="00EC107E"/>
    <w:rsid w:val="00EC121E"/>
    <w:rsid w:val="00EC154C"/>
    <w:rsid w:val="00EC1665"/>
    <w:rsid w:val="00EC2B32"/>
    <w:rsid w:val="00EC2CBB"/>
    <w:rsid w:val="00EC2D5F"/>
    <w:rsid w:val="00EC3D6A"/>
    <w:rsid w:val="00EC3F26"/>
    <w:rsid w:val="00EC4353"/>
    <w:rsid w:val="00EC47DC"/>
    <w:rsid w:val="00EC4A21"/>
    <w:rsid w:val="00EC4A3C"/>
    <w:rsid w:val="00EC4A50"/>
    <w:rsid w:val="00EC4C10"/>
    <w:rsid w:val="00EC564B"/>
    <w:rsid w:val="00EC5A13"/>
    <w:rsid w:val="00EC7F83"/>
    <w:rsid w:val="00ED04DE"/>
    <w:rsid w:val="00ED0617"/>
    <w:rsid w:val="00ED1D05"/>
    <w:rsid w:val="00ED2334"/>
    <w:rsid w:val="00ED24FD"/>
    <w:rsid w:val="00ED2AF4"/>
    <w:rsid w:val="00ED3428"/>
    <w:rsid w:val="00ED3818"/>
    <w:rsid w:val="00ED49B4"/>
    <w:rsid w:val="00ED5C51"/>
    <w:rsid w:val="00ED6118"/>
    <w:rsid w:val="00ED6BD2"/>
    <w:rsid w:val="00ED7505"/>
    <w:rsid w:val="00ED7A40"/>
    <w:rsid w:val="00EE0D50"/>
    <w:rsid w:val="00EE11DC"/>
    <w:rsid w:val="00EE128C"/>
    <w:rsid w:val="00EE1332"/>
    <w:rsid w:val="00EE195D"/>
    <w:rsid w:val="00EE2191"/>
    <w:rsid w:val="00EE21E8"/>
    <w:rsid w:val="00EE2C21"/>
    <w:rsid w:val="00EE2CA9"/>
    <w:rsid w:val="00EE3656"/>
    <w:rsid w:val="00EE3666"/>
    <w:rsid w:val="00EE3C2A"/>
    <w:rsid w:val="00EE3D26"/>
    <w:rsid w:val="00EE45A7"/>
    <w:rsid w:val="00EE4C71"/>
    <w:rsid w:val="00EE5396"/>
    <w:rsid w:val="00EE5D5F"/>
    <w:rsid w:val="00EE5DE3"/>
    <w:rsid w:val="00EE6601"/>
    <w:rsid w:val="00EE684F"/>
    <w:rsid w:val="00EE70F9"/>
    <w:rsid w:val="00EE78FE"/>
    <w:rsid w:val="00EF18C5"/>
    <w:rsid w:val="00EF1B89"/>
    <w:rsid w:val="00EF1CB0"/>
    <w:rsid w:val="00EF1DAB"/>
    <w:rsid w:val="00EF3250"/>
    <w:rsid w:val="00EF337E"/>
    <w:rsid w:val="00EF3A2E"/>
    <w:rsid w:val="00EF3B49"/>
    <w:rsid w:val="00EF3C47"/>
    <w:rsid w:val="00EF40F5"/>
    <w:rsid w:val="00EF42E1"/>
    <w:rsid w:val="00EF529D"/>
    <w:rsid w:val="00EF597A"/>
    <w:rsid w:val="00EF631E"/>
    <w:rsid w:val="00EF6A17"/>
    <w:rsid w:val="00EF7004"/>
    <w:rsid w:val="00EF7CE4"/>
    <w:rsid w:val="00F007E1"/>
    <w:rsid w:val="00F00B78"/>
    <w:rsid w:val="00F0147C"/>
    <w:rsid w:val="00F015CC"/>
    <w:rsid w:val="00F01E2D"/>
    <w:rsid w:val="00F02F5E"/>
    <w:rsid w:val="00F0320F"/>
    <w:rsid w:val="00F0352E"/>
    <w:rsid w:val="00F03B34"/>
    <w:rsid w:val="00F03F37"/>
    <w:rsid w:val="00F0418E"/>
    <w:rsid w:val="00F06A83"/>
    <w:rsid w:val="00F072AE"/>
    <w:rsid w:val="00F072BD"/>
    <w:rsid w:val="00F073EB"/>
    <w:rsid w:val="00F07660"/>
    <w:rsid w:val="00F076A6"/>
    <w:rsid w:val="00F078BD"/>
    <w:rsid w:val="00F07C1B"/>
    <w:rsid w:val="00F07D14"/>
    <w:rsid w:val="00F10E31"/>
    <w:rsid w:val="00F10EFD"/>
    <w:rsid w:val="00F11A8D"/>
    <w:rsid w:val="00F1278D"/>
    <w:rsid w:val="00F12859"/>
    <w:rsid w:val="00F12ED0"/>
    <w:rsid w:val="00F13608"/>
    <w:rsid w:val="00F1377E"/>
    <w:rsid w:val="00F137E6"/>
    <w:rsid w:val="00F13B5A"/>
    <w:rsid w:val="00F14C79"/>
    <w:rsid w:val="00F153E3"/>
    <w:rsid w:val="00F17542"/>
    <w:rsid w:val="00F17B08"/>
    <w:rsid w:val="00F20E8C"/>
    <w:rsid w:val="00F20FCA"/>
    <w:rsid w:val="00F2107C"/>
    <w:rsid w:val="00F212BA"/>
    <w:rsid w:val="00F240D0"/>
    <w:rsid w:val="00F2475E"/>
    <w:rsid w:val="00F25007"/>
    <w:rsid w:val="00F253A5"/>
    <w:rsid w:val="00F2560D"/>
    <w:rsid w:val="00F26229"/>
    <w:rsid w:val="00F268F6"/>
    <w:rsid w:val="00F305D4"/>
    <w:rsid w:val="00F30985"/>
    <w:rsid w:val="00F30C6C"/>
    <w:rsid w:val="00F30F66"/>
    <w:rsid w:val="00F31171"/>
    <w:rsid w:val="00F313FC"/>
    <w:rsid w:val="00F3233F"/>
    <w:rsid w:val="00F329D8"/>
    <w:rsid w:val="00F32F89"/>
    <w:rsid w:val="00F32FED"/>
    <w:rsid w:val="00F33842"/>
    <w:rsid w:val="00F33DA1"/>
    <w:rsid w:val="00F35F03"/>
    <w:rsid w:val="00F36E33"/>
    <w:rsid w:val="00F36FC9"/>
    <w:rsid w:val="00F37412"/>
    <w:rsid w:val="00F41551"/>
    <w:rsid w:val="00F41865"/>
    <w:rsid w:val="00F422AE"/>
    <w:rsid w:val="00F427C1"/>
    <w:rsid w:val="00F43310"/>
    <w:rsid w:val="00F433DD"/>
    <w:rsid w:val="00F435A3"/>
    <w:rsid w:val="00F43910"/>
    <w:rsid w:val="00F44214"/>
    <w:rsid w:val="00F44874"/>
    <w:rsid w:val="00F45969"/>
    <w:rsid w:val="00F45D6D"/>
    <w:rsid w:val="00F45E91"/>
    <w:rsid w:val="00F461C5"/>
    <w:rsid w:val="00F4680E"/>
    <w:rsid w:val="00F46EAA"/>
    <w:rsid w:val="00F470BE"/>
    <w:rsid w:val="00F475F8"/>
    <w:rsid w:val="00F4790F"/>
    <w:rsid w:val="00F47B77"/>
    <w:rsid w:val="00F47F32"/>
    <w:rsid w:val="00F5000C"/>
    <w:rsid w:val="00F502C8"/>
    <w:rsid w:val="00F5092F"/>
    <w:rsid w:val="00F51449"/>
    <w:rsid w:val="00F5173F"/>
    <w:rsid w:val="00F51B9A"/>
    <w:rsid w:val="00F52B35"/>
    <w:rsid w:val="00F53529"/>
    <w:rsid w:val="00F5352A"/>
    <w:rsid w:val="00F53853"/>
    <w:rsid w:val="00F5416B"/>
    <w:rsid w:val="00F5587F"/>
    <w:rsid w:val="00F56572"/>
    <w:rsid w:val="00F5658E"/>
    <w:rsid w:val="00F569BA"/>
    <w:rsid w:val="00F57265"/>
    <w:rsid w:val="00F57398"/>
    <w:rsid w:val="00F576C8"/>
    <w:rsid w:val="00F600F5"/>
    <w:rsid w:val="00F61196"/>
    <w:rsid w:val="00F61701"/>
    <w:rsid w:val="00F62209"/>
    <w:rsid w:val="00F622BC"/>
    <w:rsid w:val="00F6241F"/>
    <w:rsid w:val="00F62EDA"/>
    <w:rsid w:val="00F634BD"/>
    <w:rsid w:val="00F6458A"/>
    <w:rsid w:val="00F64614"/>
    <w:rsid w:val="00F64A91"/>
    <w:rsid w:val="00F64C26"/>
    <w:rsid w:val="00F6613A"/>
    <w:rsid w:val="00F669BD"/>
    <w:rsid w:val="00F70057"/>
    <w:rsid w:val="00F705AA"/>
    <w:rsid w:val="00F7081B"/>
    <w:rsid w:val="00F70996"/>
    <w:rsid w:val="00F70F81"/>
    <w:rsid w:val="00F70F8E"/>
    <w:rsid w:val="00F70FC4"/>
    <w:rsid w:val="00F716DD"/>
    <w:rsid w:val="00F71C3C"/>
    <w:rsid w:val="00F73004"/>
    <w:rsid w:val="00F731F8"/>
    <w:rsid w:val="00F740DC"/>
    <w:rsid w:val="00F74752"/>
    <w:rsid w:val="00F74F7A"/>
    <w:rsid w:val="00F7510D"/>
    <w:rsid w:val="00F763BB"/>
    <w:rsid w:val="00F80763"/>
    <w:rsid w:val="00F80E35"/>
    <w:rsid w:val="00F815CE"/>
    <w:rsid w:val="00F81951"/>
    <w:rsid w:val="00F81A8C"/>
    <w:rsid w:val="00F81C3F"/>
    <w:rsid w:val="00F826D6"/>
    <w:rsid w:val="00F82BDE"/>
    <w:rsid w:val="00F83E84"/>
    <w:rsid w:val="00F847D0"/>
    <w:rsid w:val="00F84EA8"/>
    <w:rsid w:val="00F85060"/>
    <w:rsid w:val="00F85796"/>
    <w:rsid w:val="00F864F2"/>
    <w:rsid w:val="00F866E5"/>
    <w:rsid w:val="00F87114"/>
    <w:rsid w:val="00F876A8"/>
    <w:rsid w:val="00F87B15"/>
    <w:rsid w:val="00F87F85"/>
    <w:rsid w:val="00F90BEA"/>
    <w:rsid w:val="00F9132D"/>
    <w:rsid w:val="00F91DE0"/>
    <w:rsid w:val="00F92181"/>
    <w:rsid w:val="00F9219D"/>
    <w:rsid w:val="00F92CF6"/>
    <w:rsid w:val="00F935CE"/>
    <w:rsid w:val="00F937C3"/>
    <w:rsid w:val="00F93934"/>
    <w:rsid w:val="00F93AF2"/>
    <w:rsid w:val="00F94D51"/>
    <w:rsid w:val="00F9599B"/>
    <w:rsid w:val="00F95AF5"/>
    <w:rsid w:val="00F96103"/>
    <w:rsid w:val="00F96D8E"/>
    <w:rsid w:val="00F96E5C"/>
    <w:rsid w:val="00F97C71"/>
    <w:rsid w:val="00FA0252"/>
    <w:rsid w:val="00FA0B5E"/>
    <w:rsid w:val="00FA0CD6"/>
    <w:rsid w:val="00FA11FB"/>
    <w:rsid w:val="00FA215A"/>
    <w:rsid w:val="00FA26DB"/>
    <w:rsid w:val="00FA2E5B"/>
    <w:rsid w:val="00FA2F97"/>
    <w:rsid w:val="00FA3366"/>
    <w:rsid w:val="00FA3E98"/>
    <w:rsid w:val="00FA42D2"/>
    <w:rsid w:val="00FA4D50"/>
    <w:rsid w:val="00FA515D"/>
    <w:rsid w:val="00FA5791"/>
    <w:rsid w:val="00FA5DF7"/>
    <w:rsid w:val="00FA5F42"/>
    <w:rsid w:val="00FA643D"/>
    <w:rsid w:val="00FA6872"/>
    <w:rsid w:val="00FA739A"/>
    <w:rsid w:val="00FA7637"/>
    <w:rsid w:val="00FB0394"/>
    <w:rsid w:val="00FB078D"/>
    <w:rsid w:val="00FB07EA"/>
    <w:rsid w:val="00FB0CA1"/>
    <w:rsid w:val="00FB171A"/>
    <w:rsid w:val="00FB1B81"/>
    <w:rsid w:val="00FB256F"/>
    <w:rsid w:val="00FB25D1"/>
    <w:rsid w:val="00FB26ED"/>
    <w:rsid w:val="00FB2843"/>
    <w:rsid w:val="00FB3004"/>
    <w:rsid w:val="00FB50E7"/>
    <w:rsid w:val="00FB5650"/>
    <w:rsid w:val="00FB5AE4"/>
    <w:rsid w:val="00FB5B33"/>
    <w:rsid w:val="00FB6AFB"/>
    <w:rsid w:val="00FB6B61"/>
    <w:rsid w:val="00FB6E44"/>
    <w:rsid w:val="00FB715C"/>
    <w:rsid w:val="00FB7516"/>
    <w:rsid w:val="00FB7AB0"/>
    <w:rsid w:val="00FB7B4F"/>
    <w:rsid w:val="00FC0341"/>
    <w:rsid w:val="00FC05CE"/>
    <w:rsid w:val="00FC08BA"/>
    <w:rsid w:val="00FC0A5D"/>
    <w:rsid w:val="00FC0BFA"/>
    <w:rsid w:val="00FC1A74"/>
    <w:rsid w:val="00FC2121"/>
    <w:rsid w:val="00FC2351"/>
    <w:rsid w:val="00FC26BE"/>
    <w:rsid w:val="00FC2A1E"/>
    <w:rsid w:val="00FC2CAA"/>
    <w:rsid w:val="00FC2E53"/>
    <w:rsid w:val="00FC302F"/>
    <w:rsid w:val="00FC32ED"/>
    <w:rsid w:val="00FC4670"/>
    <w:rsid w:val="00FC666D"/>
    <w:rsid w:val="00FC66C2"/>
    <w:rsid w:val="00FC6FFB"/>
    <w:rsid w:val="00FD11CC"/>
    <w:rsid w:val="00FD1DC0"/>
    <w:rsid w:val="00FD2C1C"/>
    <w:rsid w:val="00FD386C"/>
    <w:rsid w:val="00FD475B"/>
    <w:rsid w:val="00FD4970"/>
    <w:rsid w:val="00FD49B6"/>
    <w:rsid w:val="00FD4A8A"/>
    <w:rsid w:val="00FD50A9"/>
    <w:rsid w:val="00FD585C"/>
    <w:rsid w:val="00FD597E"/>
    <w:rsid w:val="00FD600D"/>
    <w:rsid w:val="00FD62D1"/>
    <w:rsid w:val="00FD67A2"/>
    <w:rsid w:val="00FD6C38"/>
    <w:rsid w:val="00FD7298"/>
    <w:rsid w:val="00FD7779"/>
    <w:rsid w:val="00FE022C"/>
    <w:rsid w:val="00FE1992"/>
    <w:rsid w:val="00FE2067"/>
    <w:rsid w:val="00FE23DA"/>
    <w:rsid w:val="00FE2C1C"/>
    <w:rsid w:val="00FE2DC6"/>
    <w:rsid w:val="00FE3113"/>
    <w:rsid w:val="00FE3CEA"/>
    <w:rsid w:val="00FE3E97"/>
    <w:rsid w:val="00FE4049"/>
    <w:rsid w:val="00FE48F3"/>
    <w:rsid w:val="00FE4F50"/>
    <w:rsid w:val="00FE5DBA"/>
    <w:rsid w:val="00FE6F92"/>
    <w:rsid w:val="00FE7BE4"/>
    <w:rsid w:val="00FE7D7E"/>
    <w:rsid w:val="00FF0691"/>
    <w:rsid w:val="00FF1DE6"/>
    <w:rsid w:val="00FF255D"/>
    <w:rsid w:val="00FF2CF9"/>
    <w:rsid w:val="00FF3190"/>
    <w:rsid w:val="00FF3369"/>
    <w:rsid w:val="00FF3DA3"/>
    <w:rsid w:val="00FF5A55"/>
    <w:rsid w:val="00FF60F0"/>
    <w:rsid w:val="00FF756E"/>
    <w:rsid w:val="00FF76C4"/>
    <w:rsid w:val="00FF7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4:docId w14:val="55C30E37"/>
  <w15:docId w15:val="{A8B83C41-2B7B-4685-B885-DF3A8D3E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487" w:lineRule="auto"/>
      <w:ind w:left="60" w:right="541" w:hanging="10"/>
      <w:jc w:val="both"/>
    </w:pPr>
    <w:rPr>
      <w:rFonts w:ascii="Arial" w:eastAsia="Arial" w:hAnsi="Arial" w:cs="Arial"/>
      <w:color w:val="000000"/>
      <w:sz w:val="24"/>
    </w:rPr>
  </w:style>
  <w:style w:type="paragraph" w:styleId="Ttulo1">
    <w:name w:val="heading 1"/>
    <w:next w:val="Normal"/>
    <w:link w:val="Ttulo1Car"/>
    <w:uiPriority w:val="1"/>
    <w:unhideWhenUsed/>
    <w:qFormat/>
    <w:pPr>
      <w:keepNext/>
      <w:keepLines/>
      <w:spacing w:after="507"/>
      <w:ind w:left="10" w:right="470" w:hanging="10"/>
      <w:jc w:val="center"/>
      <w:outlineLvl w:val="0"/>
    </w:pPr>
    <w:rPr>
      <w:rFonts w:ascii="Arial" w:eastAsia="Arial" w:hAnsi="Arial" w:cs="Arial"/>
      <w:b/>
      <w:color w:val="000000"/>
      <w:sz w:val="48"/>
      <w:shd w:val="clear" w:color="auto" w:fill="FFFF00"/>
    </w:rPr>
  </w:style>
  <w:style w:type="paragraph" w:styleId="Ttulo2">
    <w:name w:val="heading 2"/>
    <w:next w:val="Normal"/>
    <w:link w:val="Ttulo2Car"/>
    <w:uiPriority w:val="1"/>
    <w:unhideWhenUsed/>
    <w:qFormat/>
    <w:pPr>
      <w:keepNext/>
      <w:keepLines/>
      <w:spacing w:after="261" w:line="250" w:lineRule="auto"/>
      <w:ind w:left="60" w:hanging="10"/>
      <w:outlineLvl w:val="1"/>
    </w:pPr>
    <w:rPr>
      <w:rFonts w:ascii="Arial" w:eastAsia="Arial" w:hAnsi="Arial" w:cs="Arial"/>
      <w:b/>
      <w:color w:val="000000"/>
      <w:sz w:val="24"/>
    </w:rPr>
  </w:style>
  <w:style w:type="paragraph" w:styleId="Ttulo3">
    <w:name w:val="heading 3"/>
    <w:next w:val="Normal"/>
    <w:link w:val="Ttulo3Car"/>
    <w:uiPriority w:val="1"/>
    <w:unhideWhenUsed/>
    <w:qFormat/>
    <w:pPr>
      <w:keepNext/>
      <w:keepLines/>
      <w:spacing w:after="261" w:line="250" w:lineRule="auto"/>
      <w:ind w:left="60" w:hanging="10"/>
      <w:outlineLvl w:val="2"/>
    </w:pPr>
    <w:rPr>
      <w:rFonts w:ascii="Arial" w:eastAsia="Arial" w:hAnsi="Arial" w:cs="Arial"/>
      <w:b/>
      <w:color w:val="000000"/>
      <w:sz w:val="24"/>
    </w:rPr>
  </w:style>
  <w:style w:type="paragraph" w:styleId="Ttulo4">
    <w:name w:val="heading 4"/>
    <w:next w:val="Normal"/>
    <w:link w:val="Ttulo4Car"/>
    <w:uiPriority w:val="9"/>
    <w:unhideWhenUsed/>
    <w:qFormat/>
    <w:pPr>
      <w:keepNext/>
      <w:keepLines/>
      <w:spacing w:after="4" w:line="250" w:lineRule="auto"/>
      <w:ind w:left="228" w:hanging="10"/>
      <w:jc w:val="center"/>
      <w:outlineLvl w:val="3"/>
    </w:pPr>
    <w:rPr>
      <w:rFonts w:ascii="Arial" w:eastAsia="Arial" w:hAnsi="Arial" w:cs="Arial"/>
      <w:b/>
      <w:color w:val="000000"/>
      <w:sz w:val="20"/>
    </w:rPr>
  </w:style>
  <w:style w:type="paragraph" w:styleId="Ttulo5">
    <w:name w:val="heading 5"/>
    <w:next w:val="Normal"/>
    <w:link w:val="Ttulo5Car"/>
    <w:uiPriority w:val="9"/>
    <w:unhideWhenUsed/>
    <w:qFormat/>
    <w:pPr>
      <w:keepNext/>
      <w:keepLines/>
      <w:spacing w:after="4" w:line="250" w:lineRule="auto"/>
      <w:ind w:left="228" w:hanging="10"/>
      <w:jc w:val="center"/>
      <w:outlineLvl w:val="4"/>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48"/>
      <w:shd w:val="clear" w:color="auto" w:fill="FFFF00"/>
    </w:rPr>
  </w:style>
  <w:style w:type="paragraph" w:customStyle="1" w:styleId="footnotedescription">
    <w:name w:val="footnote description"/>
    <w:next w:val="Normal"/>
    <w:link w:val="footnotedescriptionChar"/>
    <w:hidden/>
    <w:pPr>
      <w:spacing w:after="0" w:line="254" w:lineRule="auto"/>
      <w:ind w:left="50" w:right="538"/>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0"/>
    </w:rPr>
  </w:style>
  <w:style w:type="character" w:customStyle="1" w:styleId="Ttulo5Car">
    <w:name w:val="Título 5 Car"/>
    <w:link w:val="Ttulo5"/>
    <w:rPr>
      <w:rFonts w:ascii="Arial" w:eastAsia="Arial" w:hAnsi="Arial" w:cs="Arial"/>
      <w:b/>
      <w:color w:val="000000"/>
      <w:sz w:val="20"/>
    </w:rPr>
  </w:style>
  <w:style w:type="character" w:customStyle="1" w:styleId="Ttulo3Car">
    <w:name w:val="Título 3 Car"/>
    <w:link w:val="Ttulo3"/>
    <w:rPr>
      <w:rFonts w:ascii="Arial" w:eastAsia="Arial" w:hAnsi="Arial" w:cs="Arial"/>
      <w:b/>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1"/>
    <w:qFormat/>
    <w:rsid w:val="00A22943"/>
    <w:pPr>
      <w:ind w:left="720"/>
      <w:contextualSpacing/>
    </w:pPr>
  </w:style>
  <w:style w:type="character" w:styleId="Hipervnculo">
    <w:name w:val="Hyperlink"/>
    <w:basedOn w:val="Fuentedeprrafopredeter"/>
    <w:unhideWhenUsed/>
    <w:rsid w:val="00B47A63"/>
    <w:rPr>
      <w:color w:val="0000FF"/>
      <w:u w:val="single"/>
    </w:rPr>
  </w:style>
  <w:style w:type="paragraph" w:styleId="Textonotapie">
    <w:name w:val="footnote text"/>
    <w:basedOn w:val="Normal"/>
    <w:link w:val="TextonotapieCar"/>
    <w:rsid w:val="00B47A63"/>
    <w:pPr>
      <w:spacing w:after="0" w:line="240" w:lineRule="auto"/>
      <w:ind w:left="0" w:right="0" w:firstLine="0"/>
      <w:jc w:val="left"/>
    </w:pPr>
    <w:rPr>
      <w:rFonts w:ascii="Times New Roman" w:eastAsia="Times New Roman" w:hAnsi="Times New Roman" w:cs="Times New Roman"/>
      <w:color w:val="auto"/>
      <w:sz w:val="20"/>
      <w:szCs w:val="20"/>
      <w:lang w:val="es-ES" w:eastAsia="es-ES"/>
    </w:rPr>
  </w:style>
  <w:style w:type="character" w:customStyle="1" w:styleId="TextonotapieCar">
    <w:name w:val="Texto nota pie Car"/>
    <w:basedOn w:val="Fuentedeprrafopredeter"/>
    <w:link w:val="Textonotapie"/>
    <w:rsid w:val="00B47A63"/>
    <w:rPr>
      <w:rFonts w:ascii="Times New Roman" w:eastAsia="Times New Roman" w:hAnsi="Times New Roman" w:cs="Times New Roman"/>
      <w:sz w:val="20"/>
      <w:szCs w:val="20"/>
      <w:lang w:val="es-ES" w:eastAsia="es-ES"/>
    </w:rPr>
  </w:style>
  <w:style w:type="character" w:styleId="Refdenotaalpie">
    <w:name w:val="footnote reference"/>
    <w:semiHidden/>
    <w:rsid w:val="00B47A63"/>
    <w:rPr>
      <w:vertAlign w:val="superscript"/>
    </w:rPr>
  </w:style>
  <w:style w:type="paragraph" w:styleId="Textonotaalfinal">
    <w:name w:val="endnote text"/>
    <w:basedOn w:val="Normal"/>
    <w:link w:val="TextonotaalfinalCar"/>
    <w:semiHidden/>
    <w:unhideWhenUsed/>
    <w:rsid w:val="00B10AA2"/>
    <w:pPr>
      <w:spacing w:after="0" w:line="240" w:lineRule="auto"/>
      <w:ind w:left="0" w:right="0" w:firstLine="0"/>
      <w:jc w:val="left"/>
    </w:pPr>
    <w:rPr>
      <w:rFonts w:ascii="Times New Roman" w:eastAsia="Times New Roman" w:hAnsi="Times New Roman" w:cs="Times New Roman"/>
      <w:color w:val="auto"/>
      <w:sz w:val="20"/>
      <w:szCs w:val="20"/>
      <w:lang w:val="es-ES" w:eastAsia="es-ES"/>
    </w:rPr>
  </w:style>
  <w:style w:type="character" w:customStyle="1" w:styleId="TextonotaalfinalCar">
    <w:name w:val="Texto nota al final Car"/>
    <w:basedOn w:val="Fuentedeprrafopredeter"/>
    <w:link w:val="Textonotaalfinal"/>
    <w:semiHidden/>
    <w:rsid w:val="00B10AA2"/>
    <w:rPr>
      <w:rFonts w:ascii="Times New Roman" w:eastAsia="Times New Roman" w:hAnsi="Times New Roman" w:cs="Times New Roman"/>
      <w:sz w:val="20"/>
      <w:szCs w:val="20"/>
      <w:lang w:val="es-ES" w:eastAsia="es-ES"/>
    </w:rPr>
  </w:style>
  <w:style w:type="character" w:styleId="Textoennegrita">
    <w:name w:val="Strong"/>
    <w:basedOn w:val="Fuentedeprrafopredeter"/>
    <w:uiPriority w:val="22"/>
    <w:qFormat/>
    <w:rsid w:val="00AE29F9"/>
    <w:rPr>
      <w:b/>
      <w:bCs/>
    </w:rPr>
  </w:style>
  <w:style w:type="paragraph" w:styleId="Encabezado">
    <w:name w:val="header"/>
    <w:basedOn w:val="Normal"/>
    <w:link w:val="EncabezadoCar"/>
    <w:uiPriority w:val="99"/>
    <w:unhideWhenUsed/>
    <w:rsid w:val="00BA25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253F"/>
    <w:rPr>
      <w:rFonts w:ascii="Arial" w:eastAsia="Arial" w:hAnsi="Arial" w:cs="Arial"/>
      <w:color w:val="000000"/>
      <w:sz w:val="24"/>
    </w:rPr>
  </w:style>
  <w:style w:type="paragraph" w:styleId="Piedepgina">
    <w:name w:val="footer"/>
    <w:basedOn w:val="Normal"/>
    <w:link w:val="PiedepginaCar"/>
    <w:uiPriority w:val="99"/>
    <w:unhideWhenUsed/>
    <w:rsid w:val="00BA253F"/>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epginaCar">
    <w:name w:val="Pie de página Car"/>
    <w:basedOn w:val="Fuentedeprrafopredeter"/>
    <w:link w:val="Piedepgina"/>
    <w:uiPriority w:val="99"/>
    <w:rsid w:val="00BA253F"/>
    <w:rPr>
      <w:rFonts w:cs="Times New Roman"/>
    </w:rPr>
  </w:style>
  <w:style w:type="character" w:styleId="nfasis">
    <w:name w:val="Emphasis"/>
    <w:basedOn w:val="Fuentedeprrafopredeter"/>
    <w:uiPriority w:val="20"/>
    <w:qFormat/>
    <w:rsid w:val="001F1ED3"/>
    <w:rPr>
      <w:i/>
      <w:iCs/>
    </w:rPr>
  </w:style>
  <w:style w:type="character" w:customStyle="1" w:styleId="italica">
    <w:name w:val="italica"/>
    <w:basedOn w:val="Fuentedeprrafopredeter"/>
    <w:rsid w:val="00DE469B"/>
  </w:style>
  <w:style w:type="numbering" w:customStyle="1" w:styleId="Sinlista1">
    <w:name w:val="Sin lista1"/>
    <w:next w:val="Sinlista"/>
    <w:uiPriority w:val="99"/>
    <w:semiHidden/>
    <w:unhideWhenUsed/>
    <w:rsid w:val="007246B3"/>
  </w:style>
  <w:style w:type="table" w:customStyle="1" w:styleId="TableNormal">
    <w:name w:val="Table Normal"/>
    <w:uiPriority w:val="2"/>
    <w:semiHidden/>
    <w:unhideWhenUsed/>
    <w:qFormat/>
    <w:rsid w:val="007246B3"/>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styleId="TDC1">
    <w:name w:val="toc 1"/>
    <w:basedOn w:val="Normal"/>
    <w:uiPriority w:val="1"/>
    <w:qFormat/>
    <w:rsid w:val="007246B3"/>
    <w:pPr>
      <w:widowControl w:val="0"/>
      <w:autoSpaceDE w:val="0"/>
      <w:autoSpaceDN w:val="0"/>
      <w:spacing w:before="247" w:after="0" w:line="240" w:lineRule="auto"/>
      <w:ind w:left="371" w:right="1045" w:firstLine="0"/>
      <w:jc w:val="left"/>
    </w:pPr>
    <w:rPr>
      <w:rFonts w:ascii="Times New Roman" w:eastAsia="Times New Roman" w:hAnsi="Times New Roman" w:cs="Times New Roman"/>
      <w:b/>
      <w:bCs/>
      <w:color w:val="auto"/>
      <w:szCs w:val="24"/>
      <w:lang w:val="es-ES"/>
    </w:rPr>
  </w:style>
  <w:style w:type="paragraph" w:styleId="TDC2">
    <w:name w:val="toc 2"/>
    <w:basedOn w:val="Normal"/>
    <w:uiPriority w:val="1"/>
    <w:qFormat/>
    <w:rsid w:val="007246B3"/>
    <w:pPr>
      <w:widowControl w:val="0"/>
      <w:autoSpaceDE w:val="0"/>
      <w:autoSpaceDN w:val="0"/>
      <w:spacing w:before="247" w:after="0" w:line="240" w:lineRule="auto"/>
      <w:ind w:left="371" w:right="0" w:hanging="601"/>
      <w:jc w:val="left"/>
    </w:pPr>
    <w:rPr>
      <w:rFonts w:ascii="Times New Roman" w:eastAsia="Times New Roman" w:hAnsi="Times New Roman" w:cs="Times New Roman"/>
      <w:color w:val="auto"/>
      <w:szCs w:val="24"/>
      <w:lang w:val="es-ES"/>
    </w:rPr>
  </w:style>
  <w:style w:type="paragraph" w:styleId="TDC3">
    <w:name w:val="toc 3"/>
    <w:basedOn w:val="Normal"/>
    <w:uiPriority w:val="1"/>
    <w:qFormat/>
    <w:rsid w:val="007246B3"/>
    <w:pPr>
      <w:widowControl w:val="0"/>
      <w:autoSpaceDE w:val="0"/>
      <w:autoSpaceDN w:val="0"/>
      <w:spacing w:before="247" w:after="0" w:line="240" w:lineRule="auto"/>
      <w:ind w:left="971" w:right="0" w:hanging="601"/>
      <w:jc w:val="left"/>
    </w:pPr>
    <w:rPr>
      <w:rFonts w:ascii="Times New Roman" w:eastAsia="Times New Roman" w:hAnsi="Times New Roman" w:cs="Times New Roman"/>
      <w:b/>
      <w:bCs/>
      <w:i/>
      <w:iCs/>
      <w:color w:val="auto"/>
      <w:sz w:val="22"/>
      <w:lang w:val="es-ES"/>
    </w:rPr>
  </w:style>
  <w:style w:type="paragraph" w:styleId="TDC4">
    <w:name w:val="toc 4"/>
    <w:basedOn w:val="Normal"/>
    <w:uiPriority w:val="1"/>
    <w:qFormat/>
    <w:rsid w:val="007246B3"/>
    <w:pPr>
      <w:widowControl w:val="0"/>
      <w:autoSpaceDE w:val="0"/>
      <w:autoSpaceDN w:val="0"/>
      <w:spacing w:before="350" w:after="0" w:line="240" w:lineRule="auto"/>
      <w:ind w:left="431" w:right="605"/>
      <w:jc w:val="left"/>
    </w:pPr>
    <w:rPr>
      <w:rFonts w:ascii="Times New Roman" w:eastAsia="Times New Roman" w:hAnsi="Times New Roman" w:cs="Times New Roman"/>
      <w:color w:val="auto"/>
      <w:szCs w:val="24"/>
      <w:lang w:val="es-ES"/>
    </w:rPr>
  </w:style>
  <w:style w:type="paragraph" w:styleId="Textoindependiente">
    <w:name w:val="Body Text"/>
    <w:basedOn w:val="Normal"/>
    <w:link w:val="TextoindependienteCar"/>
    <w:uiPriority w:val="1"/>
    <w:qFormat/>
    <w:rsid w:val="007246B3"/>
    <w:pPr>
      <w:widowControl w:val="0"/>
      <w:autoSpaceDE w:val="0"/>
      <w:autoSpaceDN w:val="0"/>
      <w:spacing w:after="0" w:line="240" w:lineRule="auto"/>
      <w:ind w:left="0" w:right="0" w:firstLine="0"/>
    </w:pPr>
    <w:rPr>
      <w:rFonts w:ascii="Times New Roman" w:eastAsia="Times New Roman" w:hAnsi="Times New Roman" w:cs="Times New Roman"/>
      <w:color w:val="auto"/>
      <w:szCs w:val="24"/>
      <w:lang w:val="es-ES"/>
    </w:rPr>
  </w:style>
  <w:style w:type="character" w:customStyle="1" w:styleId="TextoindependienteCar">
    <w:name w:val="Texto independiente Car"/>
    <w:basedOn w:val="Fuentedeprrafopredeter"/>
    <w:link w:val="Textoindependiente"/>
    <w:uiPriority w:val="1"/>
    <w:rsid w:val="007246B3"/>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7246B3"/>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383229">
      <w:bodyDiv w:val="1"/>
      <w:marLeft w:val="0"/>
      <w:marRight w:val="0"/>
      <w:marTop w:val="0"/>
      <w:marBottom w:val="0"/>
      <w:divBdr>
        <w:top w:val="none" w:sz="0" w:space="0" w:color="auto"/>
        <w:left w:val="none" w:sz="0" w:space="0" w:color="auto"/>
        <w:bottom w:val="none" w:sz="0" w:space="0" w:color="auto"/>
        <w:right w:val="none" w:sz="0" w:space="0" w:color="auto"/>
      </w:divBdr>
    </w:div>
    <w:div w:id="388119310">
      <w:bodyDiv w:val="1"/>
      <w:marLeft w:val="0"/>
      <w:marRight w:val="0"/>
      <w:marTop w:val="0"/>
      <w:marBottom w:val="0"/>
      <w:divBdr>
        <w:top w:val="none" w:sz="0" w:space="0" w:color="auto"/>
        <w:left w:val="none" w:sz="0" w:space="0" w:color="auto"/>
        <w:bottom w:val="none" w:sz="0" w:space="0" w:color="auto"/>
        <w:right w:val="none" w:sz="0" w:space="0" w:color="auto"/>
      </w:divBdr>
    </w:div>
    <w:div w:id="499085184">
      <w:bodyDiv w:val="1"/>
      <w:marLeft w:val="0"/>
      <w:marRight w:val="0"/>
      <w:marTop w:val="0"/>
      <w:marBottom w:val="0"/>
      <w:divBdr>
        <w:top w:val="none" w:sz="0" w:space="0" w:color="auto"/>
        <w:left w:val="none" w:sz="0" w:space="0" w:color="auto"/>
        <w:bottom w:val="none" w:sz="0" w:space="0" w:color="auto"/>
        <w:right w:val="none" w:sz="0" w:space="0" w:color="auto"/>
      </w:divBdr>
    </w:div>
    <w:div w:id="867186040">
      <w:bodyDiv w:val="1"/>
      <w:marLeft w:val="0"/>
      <w:marRight w:val="0"/>
      <w:marTop w:val="0"/>
      <w:marBottom w:val="0"/>
      <w:divBdr>
        <w:top w:val="none" w:sz="0" w:space="0" w:color="auto"/>
        <w:left w:val="none" w:sz="0" w:space="0" w:color="auto"/>
        <w:bottom w:val="none" w:sz="0" w:space="0" w:color="auto"/>
        <w:right w:val="none" w:sz="0" w:space="0" w:color="auto"/>
      </w:divBdr>
    </w:div>
    <w:div w:id="931668131">
      <w:bodyDiv w:val="1"/>
      <w:marLeft w:val="0"/>
      <w:marRight w:val="0"/>
      <w:marTop w:val="0"/>
      <w:marBottom w:val="0"/>
      <w:divBdr>
        <w:top w:val="none" w:sz="0" w:space="0" w:color="auto"/>
        <w:left w:val="none" w:sz="0" w:space="0" w:color="auto"/>
        <w:bottom w:val="none" w:sz="0" w:space="0" w:color="auto"/>
        <w:right w:val="none" w:sz="0" w:space="0" w:color="auto"/>
      </w:divBdr>
    </w:div>
    <w:div w:id="1149515558">
      <w:bodyDiv w:val="1"/>
      <w:marLeft w:val="0"/>
      <w:marRight w:val="0"/>
      <w:marTop w:val="0"/>
      <w:marBottom w:val="0"/>
      <w:divBdr>
        <w:top w:val="none" w:sz="0" w:space="0" w:color="auto"/>
        <w:left w:val="none" w:sz="0" w:space="0" w:color="auto"/>
        <w:bottom w:val="none" w:sz="0" w:space="0" w:color="auto"/>
        <w:right w:val="none" w:sz="0" w:space="0" w:color="auto"/>
      </w:divBdr>
    </w:div>
    <w:div w:id="1168012236">
      <w:bodyDiv w:val="1"/>
      <w:marLeft w:val="0"/>
      <w:marRight w:val="0"/>
      <w:marTop w:val="0"/>
      <w:marBottom w:val="0"/>
      <w:divBdr>
        <w:top w:val="none" w:sz="0" w:space="0" w:color="auto"/>
        <w:left w:val="none" w:sz="0" w:space="0" w:color="auto"/>
        <w:bottom w:val="none" w:sz="0" w:space="0" w:color="auto"/>
        <w:right w:val="none" w:sz="0" w:space="0" w:color="auto"/>
      </w:divBdr>
    </w:div>
    <w:div w:id="1286230955">
      <w:bodyDiv w:val="1"/>
      <w:marLeft w:val="0"/>
      <w:marRight w:val="0"/>
      <w:marTop w:val="0"/>
      <w:marBottom w:val="0"/>
      <w:divBdr>
        <w:top w:val="none" w:sz="0" w:space="0" w:color="auto"/>
        <w:left w:val="none" w:sz="0" w:space="0" w:color="auto"/>
        <w:bottom w:val="none" w:sz="0" w:space="0" w:color="auto"/>
        <w:right w:val="none" w:sz="0" w:space="0" w:color="auto"/>
      </w:divBdr>
    </w:div>
    <w:div w:id="1736778172">
      <w:bodyDiv w:val="1"/>
      <w:marLeft w:val="0"/>
      <w:marRight w:val="0"/>
      <w:marTop w:val="0"/>
      <w:marBottom w:val="0"/>
      <w:divBdr>
        <w:top w:val="none" w:sz="0" w:space="0" w:color="auto"/>
        <w:left w:val="none" w:sz="0" w:space="0" w:color="auto"/>
        <w:bottom w:val="none" w:sz="0" w:space="0" w:color="auto"/>
        <w:right w:val="none" w:sz="0" w:space="0" w:color="auto"/>
      </w:divBdr>
    </w:div>
    <w:div w:id="1802574921">
      <w:bodyDiv w:val="1"/>
      <w:marLeft w:val="0"/>
      <w:marRight w:val="0"/>
      <w:marTop w:val="0"/>
      <w:marBottom w:val="0"/>
      <w:divBdr>
        <w:top w:val="none" w:sz="0" w:space="0" w:color="auto"/>
        <w:left w:val="none" w:sz="0" w:space="0" w:color="auto"/>
        <w:bottom w:val="none" w:sz="0" w:space="0" w:color="auto"/>
        <w:right w:val="none" w:sz="0" w:space="0" w:color="auto"/>
      </w:divBdr>
    </w:div>
    <w:div w:id="2045792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eader" Target="header2.xml"/><Relationship Id="rId21" Type="http://schemas.openxmlformats.org/officeDocument/2006/relationships/oleObject" Target="embeddings/oleObject2.bin"/><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oleObject" Target="embeddings/oleObject30.bin"/><Relationship Id="rId89" Type="http://schemas.openxmlformats.org/officeDocument/2006/relationships/image" Target="media/image50.wmf"/><Relationship Id="rId112" Type="http://schemas.openxmlformats.org/officeDocument/2006/relationships/hyperlink" Target="https://ideas.repec.org/s/eee/eecrev.html" TargetMode="External"/><Relationship Id="rId16" Type="http://schemas.openxmlformats.org/officeDocument/2006/relationships/image" Target="media/image9.png"/><Relationship Id="rId107" Type="http://schemas.openxmlformats.org/officeDocument/2006/relationships/hyperlink" Target="http://www.banxico.org.mx" TargetMode="External"/><Relationship Id="rId11" Type="http://schemas.openxmlformats.org/officeDocument/2006/relationships/image" Target="media/image4.png"/><Relationship Id="rId32" Type="http://schemas.openxmlformats.org/officeDocument/2006/relationships/image" Target="media/image18.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1.wmf"/><Relationship Id="rId74" Type="http://schemas.openxmlformats.org/officeDocument/2006/relationships/oleObject" Target="embeddings/oleObject25.bin"/><Relationship Id="rId79" Type="http://schemas.openxmlformats.org/officeDocument/2006/relationships/image" Target="media/image45.wmf"/><Relationship Id="rId102" Type="http://schemas.openxmlformats.org/officeDocument/2006/relationships/image" Target="media/image63.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image" Target="media/image56.png"/><Relationship Id="rId22" Type="http://schemas.openxmlformats.org/officeDocument/2006/relationships/image" Target="media/image13.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6.wmf"/><Relationship Id="rId64" Type="http://schemas.openxmlformats.org/officeDocument/2006/relationships/image" Target="media/image36.png"/><Relationship Id="rId69" Type="http://schemas.openxmlformats.org/officeDocument/2006/relationships/image" Target="media/image40.wmf"/><Relationship Id="rId113" Type="http://schemas.openxmlformats.org/officeDocument/2006/relationships/hyperlink" Target="https://econpapers.repec.org/bookchap/chbbcchsb/v11c09pp291-372.htm" TargetMode="External"/><Relationship Id="rId118" Type="http://schemas.openxmlformats.org/officeDocument/2006/relationships/footer" Target="footer1.xml"/><Relationship Id="rId80" Type="http://schemas.openxmlformats.org/officeDocument/2006/relationships/oleObject" Target="embeddings/oleObject28.bin"/><Relationship Id="rId85" Type="http://schemas.openxmlformats.org/officeDocument/2006/relationships/image" Target="media/image48.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image" Target="media/image64.png"/><Relationship Id="rId108" Type="http://schemas.openxmlformats.org/officeDocument/2006/relationships/hyperlink" Target="http://www.banxico.org.mx" TargetMode="External"/><Relationship Id="rId54" Type="http://schemas.openxmlformats.org/officeDocument/2006/relationships/image" Target="media/image29.wmf"/><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image" Target="media/image52.wmf"/><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hyperlink" Target="https://ideas.repec.org/a/rbp/esteco/ree-14-01.html" TargetMode="External"/><Relationship Id="rId119" Type="http://schemas.openxmlformats.org/officeDocument/2006/relationships/footer" Target="footer2.xml"/><Relationship Id="rId44" Type="http://schemas.openxmlformats.org/officeDocument/2006/relationships/image" Target="media/image24.wmf"/><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46.wmf"/><Relationship Id="rId86"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oleObject" Target="embeddings/oleObject11.bin"/><Relationship Id="rId109" Type="http://schemas.openxmlformats.org/officeDocument/2006/relationships/hyperlink" Target="http://www.banxico.org.mx" TargetMode="External"/><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oleObject" Target="embeddings/oleObject26.bin"/><Relationship Id="rId97" Type="http://schemas.openxmlformats.org/officeDocument/2006/relationships/image" Target="media/image58.png"/><Relationship Id="rId104" Type="http://schemas.openxmlformats.org/officeDocument/2006/relationships/hyperlink" Target="http://www.levy.org"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8.emf"/><Relationship Id="rId87" Type="http://schemas.openxmlformats.org/officeDocument/2006/relationships/image" Target="media/image49.wmf"/><Relationship Id="rId110" Type="http://schemas.openxmlformats.org/officeDocument/2006/relationships/hyperlink" Target="http://dx.doi.org/10.22201/fe.01851667p.2020.311.72437" TargetMode="External"/><Relationship Id="rId115" Type="http://schemas.openxmlformats.org/officeDocument/2006/relationships/hyperlink" Target="https://ideas.repec.org/s/rbp/esteco.html" TargetMode="External"/><Relationship Id="rId61" Type="http://schemas.openxmlformats.org/officeDocument/2006/relationships/image" Target="media/image33.png"/><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image" Target="media/image44.wmf"/><Relationship Id="rId100" Type="http://schemas.openxmlformats.org/officeDocument/2006/relationships/image" Target="media/image61.png"/><Relationship Id="rId105" Type="http://schemas.openxmlformats.org/officeDocument/2006/relationships/hyperlink" Target="https://scholar.google.com/citations?view_op=view_citation&amp;hl=es&amp;user=GXo7fsgAAAAJ&amp;citation_for_view=GXo7fsgAAAAJ:_FxGoFyzp5QC" TargetMode="Externa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4.bin"/><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oleObject" Target="embeddings/oleObject22.bin"/><Relationship Id="rId116" Type="http://schemas.openxmlformats.org/officeDocument/2006/relationships/header" Target="header1.xml"/><Relationship Id="rId20" Type="http://schemas.openxmlformats.org/officeDocument/2006/relationships/image" Target="media/image12.wmf"/><Relationship Id="rId41" Type="http://schemas.openxmlformats.org/officeDocument/2006/relationships/oleObject" Target="embeddings/oleObject12.bin"/><Relationship Id="rId62" Type="http://schemas.openxmlformats.org/officeDocument/2006/relationships/image" Target="media/image34.png"/><Relationship Id="rId83" Type="http://schemas.openxmlformats.org/officeDocument/2006/relationships/image" Target="media/image47.wmf"/><Relationship Id="rId88" Type="http://schemas.openxmlformats.org/officeDocument/2006/relationships/oleObject" Target="embeddings/oleObject32.bin"/><Relationship Id="rId111" Type="http://schemas.openxmlformats.org/officeDocument/2006/relationships/hyperlink" Target="https://ideas.repec.org/a/eee/eecrev/v41y1997i8p1511-1535.html" TargetMode="External"/><Relationship Id="rId15" Type="http://schemas.openxmlformats.org/officeDocument/2006/relationships/image" Target="media/image8.png"/><Relationship Id="rId36" Type="http://schemas.openxmlformats.org/officeDocument/2006/relationships/image" Target="media/image20.wmf"/><Relationship Id="rId57" Type="http://schemas.openxmlformats.org/officeDocument/2006/relationships/oleObject" Target="embeddings/oleObject20.bin"/><Relationship Id="rId106" Type="http://schemas.openxmlformats.org/officeDocument/2006/relationships/hyperlink" Target="http://www.banxico.org.mx" TargetMode="External"/><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8.wmf"/><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A900D-39C3-46D1-BE34-9606B418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22093</Words>
  <Characters>125934</Characters>
  <Application>Microsoft Office Word</Application>
  <DocSecurity>0</DocSecurity>
  <Lines>1049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rolando 1</cp:lastModifiedBy>
  <cp:revision>2</cp:revision>
  <cp:lastPrinted>2023-06-02T21:48:00Z</cp:lastPrinted>
  <dcterms:created xsi:type="dcterms:W3CDTF">2024-03-18T02:57:00Z</dcterms:created>
  <dcterms:modified xsi:type="dcterms:W3CDTF">2024-03-18T02:57:00Z</dcterms:modified>
</cp:coreProperties>
</file>